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0377A" w14:textId="6930A72C" w:rsidR="009E1198" w:rsidRPr="009E1198" w:rsidRDefault="002E4738" w:rsidP="00947486">
      <w:pPr>
        <w:jc w:val="right"/>
        <w:rPr>
          <w:sz w:val="24"/>
          <w:szCs w:val="24"/>
        </w:rPr>
      </w:pPr>
      <w:bookmarkStart w:id="0" w:name="_GoBack"/>
      <w:bookmarkEnd w:id="0"/>
      <w:r>
        <w:rPr>
          <w:sz w:val="24"/>
          <w:szCs w:val="24"/>
        </w:rPr>
        <w:t xml:space="preserve">Version </w:t>
      </w:r>
      <w:r w:rsidR="00F75EFC">
        <w:rPr>
          <w:sz w:val="24"/>
          <w:szCs w:val="24"/>
        </w:rPr>
        <w:t>16</w:t>
      </w:r>
      <w:r w:rsidR="00C47DC7">
        <w:rPr>
          <w:sz w:val="24"/>
          <w:szCs w:val="24"/>
        </w:rPr>
        <w:t xml:space="preserve"> November</w:t>
      </w:r>
      <w:r w:rsidR="00480194">
        <w:rPr>
          <w:sz w:val="24"/>
          <w:szCs w:val="24"/>
        </w:rPr>
        <w:t xml:space="preserve"> 20</w:t>
      </w:r>
      <w:r w:rsidR="004D0E4B">
        <w:rPr>
          <w:sz w:val="24"/>
          <w:szCs w:val="24"/>
        </w:rPr>
        <w:t>2</w:t>
      </w:r>
      <w:r w:rsidR="00F56500">
        <w:rPr>
          <w:sz w:val="24"/>
          <w:szCs w:val="24"/>
        </w:rPr>
        <w:t>1</w:t>
      </w:r>
    </w:p>
    <w:p w14:paraId="100D269B" w14:textId="77777777" w:rsidR="00CB6B82" w:rsidRPr="009E1198" w:rsidRDefault="00CB6B82" w:rsidP="009E1198">
      <w:pPr>
        <w:jc w:val="center"/>
        <w:rPr>
          <w:b/>
          <w:sz w:val="28"/>
          <w:szCs w:val="28"/>
        </w:rPr>
      </w:pPr>
      <w:r w:rsidRPr="009E1198">
        <w:rPr>
          <w:b/>
          <w:sz w:val="28"/>
          <w:szCs w:val="28"/>
        </w:rPr>
        <w:t xml:space="preserve">ESPON 2020 </w:t>
      </w:r>
      <w:proofErr w:type="spellStart"/>
      <w:r w:rsidRPr="009E1198">
        <w:rPr>
          <w:b/>
          <w:sz w:val="28"/>
          <w:szCs w:val="28"/>
        </w:rPr>
        <w:t>Programme</w:t>
      </w:r>
      <w:proofErr w:type="spellEnd"/>
    </w:p>
    <w:p w14:paraId="73E9B528" w14:textId="728414A3" w:rsidR="004B6D2E" w:rsidRPr="00AB04A1" w:rsidRDefault="00CB6B82" w:rsidP="00AB04A1">
      <w:pPr>
        <w:jc w:val="center"/>
        <w:rPr>
          <w:b/>
        </w:rPr>
      </w:pPr>
      <w:r w:rsidRPr="009E1198">
        <w:rPr>
          <w:b/>
          <w:sz w:val="28"/>
          <w:szCs w:val="28"/>
        </w:rPr>
        <w:t>Co</w:t>
      </w:r>
      <w:r w:rsidR="00E93A0C">
        <w:rPr>
          <w:b/>
          <w:sz w:val="28"/>
          <w:szCs w:val="28"/>
        </w:rPr>
        <w:t>mmunication Action Plan for 20</w:t>
      </w:r>
      <w:r w:rsidR="00C463B1">
        <w:rPr>
          <w:b/>
          <w:sz w:val="28"/>
          <w:szCs w:val="28"/>
        </w:rPr>
        <w:t>2</w:t>
      </w:r>
      <w:r w:rsidR="00F56500">
        <w:rPr>
          <w:b/>
          <w:sz w:val="28"/>
          <w:szCs w:val="28"/>
        </w:rPr>
        <w:t>2</w:t>
      </w:r>
    </w:p>
    <w:p w14:paraId="67D7B8D7" w14:textId="0EAEA269" w:rsidR="00CB6B82" w:rsidRDefault="00FC7BDC" w:rsidP="004B6D2E">
      <w:pPr>
        <w:jc w:val="both"/>
        <w:rPr>
          <w:sz w:val="24"/>
          <w:szCs w:val="24"/>
        </w:rPr>
      </w:pPr>
      <w:r>
        <w:rPr>
          <w:sz w:val="24"/>
          <w:szCs w:val="24"/>
        </w:rPr>
        <w:t>The</w:t>
      </w:r>
      <w:r w:rsidR="009E1198" w:rsidRPr="009E1198">
        <w:rPr>
          <w:sz w:val="24"/>
          <w:szCs w:val="24"/>
        </w:rPr>
        <w:t xml:space="preserve"> Managing Authority will </w:t>
      </w:r>
      <w:r>
        <w:rPr>
          <w:sz w:val="24"/>
          <w:szCs w:val="24"/>
        </w:rPr>
        <w:t>contribute to</w:t>
      </w:r>
      <w:r w:rsidR="009E1198" w:rsidRPr="009E1198">
        <w:rPr>
          <w:sz w:val="24"/>
          <w:szCs w:val="24"/>
        </w:rPr>
        <w:t xml:space="preserve"> the following </w:t>
      </w:r>
      <w:r w:rsidR="009E1198">
        <w:rPr>
          <w:sz w:val="24"/>
          <w:szCs w:val="24"/>
        </w:rPr>
        <w:t xml:space="preserve">communication </w:t>
      </w:r>
      <w:r w:rsidR="00835342">
        <w:rPr>
          <w:sz w:val="24"/>
          <w:szCs w:val="24"/>
        </w:rPr>
        <w:t>activities</w:t>
      </w:r>
      <w:r>
        <w:rPr>
          <w:sz w:val="24"/>
          <w:szCs w:val="24"/>
        </w:rPr>
        <w:t xml:space="preserve"> </w:t>
      </w:r>
      <w:r w:rsidR="00C87D1A">
        <w:rPr>
          <w:sz w:val="24"/>
          <w:szCs w:val="24"/>
        </w:rPr>
        <w:t xml:space="preserve">with its relevant indicators </w:t>
      </w:r>
      <w:r w:rsidR="003027F3">
        <w:rPr>
          <w:sz w:val="24"/>
          <w:szCs w:val="24"/>
        </w:rPr>
        <w:t>in 20</w:t>
      </w:r>
      <w:r w:rsidR="00C463B1">
        <w:rPr>
          <w:sz w:val="24"/>
          <w:szCs w:val="24"/>
        </w:rPr>
        <w:t>2</w:t>
      </w:r>
      <w:r w:rsidR="00F56500">
        <w:rPr>
          <w:sz w:val="24"/>
          <w:szCs w:val="24"/>
        </w:rPr>
        <w:t>2</w:t>
      </w:r>
      <w:r w:rsidR="00680F4B">
        <w:rPr>
          <w:sz w:val="24"/>
          <w:szCs w:val="24"/>
        </w:rPr>
        <w:t xml:space="preserve">: </w:t>
      </w:r>
    </w:p>
    <w:p w14:paraId="59DAECF1" w14:textId="6A64756D" w:rsidR="00DC23CC" w:rsidRPr="009E1198" w:rsidRDefault="00FC7BDC" w:rsidP="00DF77CF">
      <w:pPr>
        <w:spacing w:before="240"/>
        <w:jc w:val="both"/>
        <w:rPr>
          <w:b/>
          <w:sz w:val="24"/>
          <w:szCs w:val="24"/>
        </w:rPr>
      </w:pPr>
      <w:r>
        <w:rPr>
          <w:b/>
          <w:sz w:val="24"/>
          <w:szCs w:val="24"/>
        </w:rPr>
        <w:t>Annual</w:t>
      </w:r>
      <w:r w:rsidR="009B2900">
        <w:rPr>
          <w:b/>
          <w:sz w:val="24"/>
          <w:szCs w:val="24"/>
        </w:rPr>
        <w:t xml:space="preserve"> </w:t>
      </w:r>
      <w:r w:rsidR="0067064A" w:rsidRPr="009E1198">
        <w:rPr>
          <w:b/>
          <w:sz w:val="24"/>
          <w:szCs w:val="24"/>
        </w:rPr>
        <w:t xml:space="preserve">Information </w:t>
      </w:r>
      <w:r w:rsidR="00AA5372">
        <w:rPr>
          <w:b/>
          <w:sz w:val="24"/>
          <w:szCs w:val="24"/>
        </w:rPr>
        <w:t>Activity</w:t>
      </w:r>
      <w:r w:rsidR="003027F3">
        <w:rPr>
          <w:b/>
          <w:sz w:val="24"/>
          <w:szCs w:val="24"/>
        </w:rPr>
        <w:t xml:space="preserve"> in 20</w:t>
      </w:r>
      <w:r w:rsidR="00C463B1">
        <w:rPr>
          <w:b/>
          <w:sz w:val="24"/>
          <w:szCs w:val="24"/>
        </w:rPr>
        <w:t>2</w:t>
      </w:r>
      <w:r w:rsidR="00F56500">
        <w:rPr>
          <w:b/>
          <w:sz w:val="24"/>
          <w:szCs w:val="24"/>
        </w:rPr>
        <w:t>2</w:t>
      </w:r>
      <w:r>
        <w:rPr>
          <w:b/>
          <w:sz w:val="24"/>
          <w:szCs w:val="24"/>
        </w:rPr>
        <w:t xml:space="preserve">: </w:t>
      </w:r>
      <w:r w:rsidR="004F1A09">
        <w:rPr>
          <w:b/>
          <w:sz w:val="24"/>
          <w:szCs w:val="24"/>
        </w:rPr>
        <w:t>Closure/Launch</w:t>
      </w:r>
      <w:r w:rsidR="00221E7B">
        <w:rPr>
          <w:b/>
          <w:sz w:val="24"/>
          <w:szCs w:val="24"/>
        </w:rPr>
        <w:t xml:space="preserve"> and</w:t>
      </w:r>
      <w:r w:rsidR="004F1A09">
        <w:rPr>
          <w:b/>
          <w:sz w:val="24"/>
          <w:szCs w:val="24"/>
        </w:rPr>
        <w:t xml:space="preserve"> 20 years Celebration</w:t>
      </w:r>
      <w:r w:rsidR="00C463B1">
        <w:rPr>
          <w:b/>
          <w:sz w:val="24"/>
          <w:szCs w:val="24"/>
        </w:rPr>
        <w:t xml:space="preserve"> Event</w:t>
      </w:r>
    </w:p>
    <w:p w14:paraId="0AFA1DAC" w14:textId="1A73927F" w:rsidR="0057033E" w:rsidRDefault="00033597" w:rsidP="00A728B7">
      <w:pPr>
        <w:jc w:val="both"/>
        <w:rPr>
          <w:sz w:val="24"/>
          <w:szCs w:val="24"/>
        </w:rPr>
      </w:pPr>
      <w:r>
        <w:rPr>
          <w:sz w:val="24"/>
          <w:szCs w:val="24"/>
        </w:rPr>
        <w:t xml:space="preserve">The </w:t>
      </w:r>
      <w:r w:rsidR="00786D9B">
        <w:rPr>
          <w:sz w:val="24"/>
          <w:szCs w:val="24"/>
        </w:rPr>
        <w:t xml:space="preserve">main </w:t>
      </w:r>
      <w:r>
        <w:rPr>
          <w:sz w:val="24"/>
          <w:szCs w:val="24"/>
        </w:rPr>
        <w:t xml:space="preserve">annual information activity will be </w:t>
      </w:r>
      <w:r w:rsidR="00C463B1">
        <w:rPr>
          <w:sz w:val="24"/>
          <w:szCs w:val="24"/>
        </w:rPr>
        <w:t xml:space="preserve">the </w:t>
      </w:r>
      <w:r w:rsidR="001015FC">
        <w:rPr>
          <w:sz w:val="24"/>
          <w:szCs w:val="24"/>
        </w:rPr>
        <w:t xml:space="preserve">organization of </w:t>
      </w:r>
      <w:r w:rsidR="00F10767">
        <w:rPr>
          <w:sz w:val="24"/>
          <w:szCs w:val="24"/>
        </w:rPr>
        <w:t>the postponed</w:t>
      </w:r>
      <w:r w:rsidR="001015FC">
        <w:rPr>
          <w:sz w:val="24"/>
          <w:szCs w:val="24"/>
        </w:rPr>
        <w:t xml:space="preserve"> </w:t>
      </w:r>
      <w:r w:rsidR="0053594C">
        <w:rPr>
          <w:sz w:val="24"/>
          <w:szCs w:val="24"/>
        </w:rPr>
        <w:t>annual information</w:t>
      </w:r>
      <w:r w:rsidR="00E3099B">
        <w:rPr>
          <w:sz w:val="24"/>
          <w:szCs w:val="24"/>
        </w:rPr>
        <w:t xml:space="preserve"> event</w:t>
      </w:r>
      <w:r w:rsidR="004D0E4B">
        <w:rPr>
          <w:sz w:val="24"/>
          <w:szCs w:val="24"/>
        </w:rPr>
        <w:t xml:space="preserve"> </w:t>
      </w:r>
      <w:r w:rsidR="00DD0A15">
        <w:rPr>
          <w:sz w:val="24"/>
          <w:szCs w:val="24"/>
        </w:rPr>
        <w:t>on 29 March 2022 in Brussels</w:t>
      </w:r>
      <w:r w:rsidR="00C463B1">
        <w:rPr>
          <w:sz w:val="24"/>
          <w:szCs w:val="24"/>
        </w:rPr>
        <w:t>. The main purpose of the event</w:t>
      </w:r>
      <w:r w:rsidR="00DD0A15">
        <w:rPr>
          <w:sz w:val="24"/>
          <w:szCs w:val="24"/>
        </w:rPr>
        <w:t xml:space="preserve"> would be to </w:t>
      </w:r>
      <w:r w:rsidR="00DD0A15" w:rsidRPr="00DD0A15">
        <w:rPr>
          <w:sz w:val="24"/>
          <w:szCs w:val="24"/>
        </w:rPr>
        <w:t>officially</w:t>
      </w:r>
      <w:r w:rsidR="00DD0A15">
        <w:rPr>
          <w:sz w:val="24"/>
          <w:szCs w:val="24"/>
        </w:rPr>
        <w:t xml:space="preserve"> close the ESPON 2020 </w:t>
      </w:r>
      <w:proofErr w:type="spellStart"/>
      <w:r w:rsidR="00DD0A15">
        <w:rPr>
          <w:sz w:val="24"/>
          <w:szCs w:val="24"/>
        </w:rPr>
        <w:t>Programme</w:t>
      </w:r>
      <w:proofErr w:type="spellEnd"/>
      <w:r w:rsidR="00DD0A15">
        <w:rPr>
          <w:sz w:val="24"/>
          <w:szCs w:val="24"/>
        </w:rPr>
        <w:t xml:space="preserve"> and to</w:t>
      </w:r>
      <w:r w:rsidR="00DD0A15" w:rsidRPr="00DD0A15">
        <w:rPr>
          <w:sz w:val="24"/>
          <w:szCs w:val="24"/>
        </w:rPr>
        <w:t xml:space="preserve"> launch the ESPON 2030 </w:t>
      </w:r>
      <w:proofErr w:type="spellStart"/>
      <w:r w:rsidR="00DD0A15" w:rsidRPr="00DD0A15">
        <w:rPr>
          <w:sz w:val="24"/>
          <w:szCs w:val="24"/>
        </w:rPr>
        <w:t>Programme</w:t>
      </w:r>
      <w:proofErr w:type="spellEnd"/>
      <w:r w:rsidR="00E144DC">
        <w:rPr>
          <w:sz w:val="24"/>
          <w:szCs w:val="24"/>
        </w:rPr>
        <w:t xml:space="preserve"> and eventually to</w:t>
      </w:r>
      <w:r w:rsidR="00E144DC" w:rsidRPr="00E144DC">
        <w:rPr>
          <w:sz w:val="24"/>
          <w:szCs w:val="24"/>
        </w:rPr>
        <w:t xml:space="preserve"> </w:t>
      </w:r>
      <w:r w:rsidR="00E144DC">
        <w:rPr>
          <w:sz w:val="24"/>
          <w:szCs w:val="24"/>
        </w:rPr>
        <w:t>c</w:t>
      </w:r>
      <w:r w:rsidR="00E144DC" w:rsidRPr="00DD0A15">
        <w:rPr>
          <w:sz w:val="24"/>
          <w:szCs w:val="24"/>
        </w:rPr>
        <w:t>elebra</w:t>
      </w:r>
      <w:r w:rsidR="00E144DC">
        <w:rPr>
          <w:sz w:val="24"/>
          <w:szCs w:val="24"/>
        </w:rPr>
        <w:t>te</w:t>
      </w:r>
      <w:r w:rsidR="00E144DC" w:rsidRPr="00DD0A15">
        <w:rPr>
          <w:sz w:val="24"/>
          <w:szCs w:val="24"/>
        </w:rPr>
        <w:t xml:space="preserve"> the 20 years of the ESPON </w:t>
      </w:r>
      <w:proofErr w:type="spellStart"/>
      <w:r w:rsidR="00E144DC" w:rsidRPr="00DD0A15">
        <w:rPr>
          <w:sz w:val="24"/>
          <w:szCs w:val="24"/>
        </w:rPr>
        <w:t>Programme</w:t>
      </w:r>
      <w:proofErr w:type="spellEnd"/>
      <w:r w:rsidR="002A55FF">
        <w:rPr>
          <w:rFonts w:ascii="Calibri" w:hAnsi="Calibri" w:cs="Calibri"/>
          <w:color w:val="000000"/>
          <w:sz w:val="24"/>
          <w:szCs w:val="24"/>
        </w:rPr>
        <w:t xml:space="preserve">. Depending on the COVID situation </w:t>
      </w:r>
      <w:r w:rsidR="00AB04A1">
        <w:rPr>
          <w:rFonts w:ascii="Calibri" w:hAnsi="Calibri" w:cs="Calibri"/>
          <w:color w:val="000000"/>
          <w:sz w:val="24"/>
          <w:szCs w:val="24"/>
        </w:rPr>
        <w:t xml:space="preserve">the </w:t>
      </w:r>
      <w:r w:rsidR="00AB04A1" w:rsidRPr="00AB04A1">
        <w:rPr>
          <w:rFonts w:ascii="Calibri" w:hAnsi="Calibri" w:cs="Calibri"/>
          <w:color w:val="000000"/>
          <w:sz w:val="24"/>
          <w:szCs w:val="24"/>
        </w:rPr>
        <w:t>MA suggest</w:t>
      </w:r>
      <w:r w:rsidR="00AB04A1">
        <w:rPr>
          <w:rFonts w:ascii="Calibri" w:hAnsi="Calibri" w:cs="Calibri"/>
          <w:color w:val="000000"/>
          <w:sz w:val="24"/>
          <w:szCs w:val="24"/>
        </w:rPr>
        <w:t>s</w:t>
      </w:r>
      <w:r w:rsidR="00AB04A1" w:rsidRPr="00AB04A1">
        <w:rPr>
          <w:rFonts w:ascii="Calibri" w:hAnsi="Calibri" w:cs="Calibri"/>
          <w:color w:val="000000"/>
          <w:sz w:val="24"/>
          <w:szCs w:val="24"/>
        </w:rPr>
        <w:t xml:space="preserve"> organizing an additional event in the second half of 2022 with the celebration of the 20 years</w:t>
      </w:r>
      <w:r w:rsidR="004D0E4B">
        <w:rPr>
          <w:sz w:val="24"/>
          <w:szCs w:val="24"/>
        </w:rPr>
        <w:t xml:space="preserve">. </w:t>
      </w:r>
      <w:r w:rsidR="002A55FF">
        <w:rPr>
          <w:sz w:val="24"/>
          <w:szCs w:val="24"/>
        </w:rPr>
        <w:t>T</w:t>
      </w:r>
      <w:r w:rsidR="004D0E4B">
        <w:rPr>
          <w:sz w:val="24"/>
          <w:szCs w:val="24"/>
        </w:rPr>
        <w:t xml:space="preserve">he </w:t>
      </w:r>
      <w:r w:rsidR="002A55FF">
        <w:rPr>
          <w:sz w:val="24"/>
          <w:szCs w:val="24"/>
        </w:rPr>
        <w:t>annual information events</w:t>
      </w:r>
      <w:r w:rsidR="004D0E4B">
        <w:rPr>
          <w:sz w:val="24"/>
          <w:szCs w:val="24"/>
        </w:rPr>
        <w:t xml:space="preserve"> </w:t>
      </w:r>
      <w:r w:rsidR="00DD0A15">
        <w:rPr>
          <w:sz w:val="24"/>
          <w:szCs w:val="24"/>
        </w:rPr>
        <w:t xml:space="preserve">will </w:t>
      </w:r>
      <w:r w:rsidR="004D0E4B">
        <w:rPr>
          <w:sz w:val="24"/>
          <w:szCs w:val="24"/>
        </w:rPr>
        <w:t xml:space="preserve">be organized </w:t>
      </w:r>
      <w:r w:rsidR="00DD0A15">
        <w:rPr>
          <w:sz w:val="24"/>
          <w:szCs w:val="24"/>
        </w:rPr>
        <w:t xml:space="preserve">in </w:t>
      </w:r>
      <w:r w:rsidR="004F1A09">
        <w:rPr>
          <w:sz w:val="24"/>
          <w:szCs w:val="24"/>
        </w:rPr>
        <w:t xml:space="preserve">a </w:t>
      </w:r>
      <w:r w:rsidR="004D0E4B">
        <w:rPr>
          <w:sz w:val="24"/>
          <w:szCs w:val="24"/>
        </w:rPr>
        <w:t>hybrid format</w:t>
      </w:r>
      <w:r w:rsidR="00651E28">
        <w:rPr>
          <w:sz w:val="24"/>
          <w:szCs w:val="24"/>
        </w:rPr>
        <w:t xml:space="preserve">. </w:t>
      </w:r>
      <w:r w:rsidR="004631BF">
        <w:rPr>
          <w:sz w:val="24"/>
          <w:szCs w:val="24"/>
        </w:rPr>
        <w:t>T</w:t>
      </w:r>
      <w:r w:rsidR="004631BF" w:rsidRPr="004631BF">
        <w:rPr>
          <w:sz w:val="24"/>
          <w:szCs w:val="24"/>
        </w:rPr>
        <w:t>he maximum number of participants</w:t>
      </w:r>
      <w:r w:rsidR="00C212D2">
        <w:rPr>
          <w:sz w:val="24"/>
          <w:szCs w:val="24"/>
        </w:rPr>
        <w:t xml:space="preserve"> </w:t>
      </w:r>
      <w:r w:rsidR="004631BF">
        <w:rPr>
          <w:sz w:val="24"/>
          <w:szCs w:val="24"/>
        </w:rPr>
        <w:t xml:space="preserve">that are </w:t>
      </w:r>
      <w:r w:rsidR="004631BF" w:rsidRPr="004631BF">
        <w:rPr>
          <w:sz w:val="24"/>
          <w:szCs w:val="24"/>
        </w:rPr>
        <w:t>expected will be around 1</w:t>
      </w:r>
      <w:r w:rsidR="00651E28">
        <w:rPr>
          <w:sz w:val="24"/>
          <w:szCs w:val="24"/>
        </w:rPr>
        <w:t>0</w:t>
      </w:r>
      <w:r w:rsidR="004631BF" w:rsidRPr="004631BF">
        <w:rPr>
          <w:sz w:val="24"/>
          <w:szCs w:val="24"/>
        </w:rPr>
        <w:t>0</w:t>
      </w:r>
      <w:r w:rsidR="00F10767">
        <w:rPr>
          <w:sz w:val="24"/>
          <w:szCs w:val="24"/>
        </w:rPr>
        <w:t xml:space="preserve">. </w:t>
      </w:r>
      <w:r w:rsidR="00ED7FCD">
        <w:rPr>
          <w:sz w:val="24"/>
          <w:szCs w:val="24"/>
        </w:rPr>
        <w:t>The event</w:t>
      </w:r>
      <w:r w:rsidR="002A55FF">
        <w:rPr>
          <w:sz w:val="24"/>
          <w:szCs w:val="24"/>
        </w:rPr>
        <w:t>s</w:t>
      </w:r>
      <w:r w:rsidR="00ED7FCD">
        <w:rPr>
          <w:sz w:val="24"/>
          <w:szCs w:val="24"/>
        </w:rPr>
        <w:t xml:space="preserve"> will be webcasted and direct participation will be ensured to all participants. </w:t>
      </w:r>
    </w:p>
    <w:p w14:paraId="01FC7183" w14:textId="24D842F0" w:rsidR="00DC23CC" w:rsidRPr="00674002" w:rsidRDefault="00DC23CC" w:rsidP="00674002">
      <w:pPr>
        <w:pStyle w:val="ListParagraph"/>
        <w:numPr>
          <w:ilvl w:val="0"/>
          <w:numId w:val="8"/>
        </w:numPr>
        <w:jc w:val="both"/>
        <w:rPr>
          <w:sz w:val="24"/>
          <w:szCs w:val="24"/>
        </w:rPr>
      </w:pPr>
      <w:r w:rsidRPr="00674002">
        <w:rPr>
          <w:sz w:val="24"/>
          <w:szCs w:val="24"/>
        </w:rPr>
        <w:t>Target group</w:t>
      </w:r>
      <w:r w:rsidR="004B6D2E" w:rsidRPr="00674002">
        <w:rPr>
          <w:sz w:val="24"/>
          <w:szCs w:val="24"/>
        </w:rPr>
        <w:t>s</w:t>
      </w:r>
      <w:r w:rsidRPr="00674002">
        <w:rPr>
          <w:sz w:val="24"/>
          <w:szCs w:val="24"/>
        </w:rPr>
        <w:t xml:space="preserve">: </w:t>
      </w:r>
      <w:r w:rsidR="00874DAD" w:rsidRPr="00674002">
        <w:rPr>
          <w:sz w:val="24"/>
          <w:szCs w:val="24"/>
        </w:rPr>
        <w:t xml:space="preserve">Commission, EP, </w:t>
      </w:r>
      <w:proofErr w:type="spellStart"/>
      <w:r w:rsidR="00874DAD" w:rsidRPr="00674002">
        <w:rPr>
          <w:sz w:val="24"/>
          <w:szCs w:val="24"/>
        </w:rPr>
        <w:t>CoR</w:t>
      </w:r>
      <w:proofErr w:type="spellEnd"/>
      <w:r w:rsidR="00874DAD" w:rsidRPr="00674002">
        <w:rPr>
          <w:sz w:val="24"/>
          <w:szCs w:val="24"/>
        </w:rPr>
        <w:t>, academic actors in the field of territorial studies, stakeholders</w:t>
      </w:r>
      <w:r w:rsidR="00651E28" w:rsidRPr="00674002">
        <w:rPr>
          <w:sz w:val="24"/>
          <w:szCs w:val="24"/>
        </w:rPr>
        <w:t>, scientists</w:t>
      </w:r>
      <w:r w:rsidR="00640BA5" w:rsidRPr="00674002">
        <w:rPr>
          <w:sz w:val="24"/>
          <w:szCs w:val="24"/>
        </w:rPr>
        <w:t>, national policy makers</w:t>
      </w:r>
      <w:r w:rsidR="00874DAD" w:rsidRPr="00674002">
        <w:rPr>
          <w:sz w:val="24"/>
          <w:szCs w:val="24"/>
        </w:rPr>
        <w:t xml:space="preserve"> and the </w:t>
      </w:r>
      <w:r w:rsidRPr="00674002">
        <w:rPr>
          <w:sz w:val="24"/>
          <w:szCs w:val="24"/>
        </w:rPr>
        <w:t>wider public</w:t>
      </w:r>
      <w:r w:rsidR="00874DAD" w:rsidRPr="00674002">
        <w:rPr>
          <w:sz w:val="24"/>
          <w:szCs w:val="24"/>
        </w:rPr>
        <w:t>.</w:t>
      </w:r>
    </w:p>
    <w:p w14:paraId="4C9B6570" w14:textId="3BE3B3A0" w:rsidR="0067064A" w:rsidRPr="00674002" w:rsidRDefault="00EE3AF5" w:rsidP="00674002">
      <w:pPr>
        <w:pStyle w:val="ListParagraph"/>
        <w:numPr>
          <w:ilvl w:val="0"/>
          <w:numId w:val="8"/>
        </w:numPr>
        <w:jc w:val="both"/>
        <w:rPr>
          <w:sz w:val="24"/>
          <w:szCs w:val="24"/>
        </w:rPr>
      </w:pPr>
      <w:r w:rsidRPr="00674002">
        <w:rPr>
          <w:sz w:val="24"/>
          <w:szCs w:val="24"/>
        </w:rPr>
        <w:t xml:space="preserve">Output indicator: number of </w:t>
      </w:r>
      <w:r w:rsidR="00C463B1" w:rsidRPr="00674002">
        <w:rPr>
          <w:sz w:val="24"/>
          <w:szCs w:val="24"/>
        </w:rPr>
        <w:t>participants</w:t>
      </w:r>
      <w:r w:rsidR="00DA6D00" w:rsidRPr="00674002">
        <w:rPr>
          <w:sz w:val="24"/>
          <w:szCs w:val="24"/>
        </w:rPr>
        <w:t>.</w:t>
      </w:r>
    </w:p>
    <w:p w14:paraId="008F5209" w14:textId="5AE91BDC" w:rsidR="00950357" w:rsidRDefault="00DC23CC" w:rsidP="00674002">
      <w:pPr>
        <w:pStyle w:val="ListParagraph"/>
        <w:numPr>
          <w:ilvl w:val="0"/>
          <w:numId w:val="8"/>
        </w:numPr>
        <w:jc w:val="both"/>
        <w:rPr>
          <w:sz w:val="24"/>
          <w:szCs w:val="24"/>
        </w:rPr>
      </w:pPr>
      <w:r w:rsidRPr="00674002">
        <w:rPr>
          <w:sz w:val="24"/>
          <w:szCs w:val="24"/>
        </w:rPr>
        <w:t xml:space="preserve">Result indicators: </w:t>
      </w:r>
      <w:r w:rsidR="00470B5D" w:rsidRPr="00674002">
        <w:rPr>
          <w:sz w:val="24"/>
          <w:szCs w:val="24"/>
        </w:rPr>
        <w:t xml:space="preserve">level of knowledge at EU level on the </w:t>
      </w:r>
      <w:proofErr w:type="spellStart"/>
      <w:r w:rsidR="00470B5D" w:rsidRPr="00674002">
        <w:rPr>
          <w:sz w:val="24"/>
          <w:szCs w:val="24"/>
        </w:rPr>
        <w:t>programme</w:t>
      </w:r>
      <w:proofErr w:type="spellEnd"/>
      <w:r w:rsidR="00470B5D" w:rsidRPr="00674002">
        <w:rPr>
          <w:sz w:val="24"/>
          <w:szCs w:val="24"/>
        </w:rPr>
        <w:t xml:space="preserve">, level of awareness of the general framework of the </w:t>
      </w:r>
      <w:proofErr w:type="spellStart"/>
      <w:r w:rsidR="00470B5D" w:rsidRPr="00674002">
        <w:rPr>
          <w:sz w:val="24"/>
          <w:szCs w:val="24"/>
        </w:rPr>
        <w:t>programme</w:t>
      </w:r>
      <w:proofErr w:type="spellEnd"/>
      <w:r w:rsidR="00470B5D" w:rsidRPr="00674002">
        <w:rPr>
          <w:sz w:val="24"/>
          <w:szCs w:val="24"/>
        </w:rPr>
        <w:t xml:space="preserve">, </w:t>
      </w:r>
      <w:r w:rsidRPr="00674002">
        <w:rPr>
          <w:sz w:val="24"/>
          <w:szCs w:val="24"/>
        </w:rPr>
        <w:t xml:space="preserve">level of knowledge in the public on the </w:t>
      </w:r>
      <w:proofErr w:type="spellStart"/>
      <w:r w:rsidRPr="00674002">
        <w:rPr>
          <w:sz w:val="24"/>
          <w:szCs w:val="24"/>
        </w:rPr>
        <w:t>programme</w:t>
      </w:r>
      <w:proofErr w:type="spellEnd"/>
      <w:r w:rsidRPr="00674002">
        <w:rPr>
          <w:sz w:val="24"/>
          <w:szCs w:val="24"/>
        </w:rPr>
        <w:t>.</w:t>
      </w:r>
    </w:p>
    <w:p w14:paraId="154ACD4F" w14:textId="77777777" w:rsidR="00DC23CC" w:rsidRDefault="00947486" w:rsidP="00DF77CF">
      <w:pPr>
        <w:spacing w:before="240"/>
        <w:jc w:val="both"/>
        <w:rPr>
          <w:b/>
          <w:sz w:val="24"/>
          <w:szCs w:val="24"/>
        </w:rPr>
      </w:pPr>
      <w:r>
        <w:rPr>
          <w:b/>
          <w:sz w:val="24"/>
          <w:szCs w:val="24"/>
        </w:rPr>
        <w:t>Support</w:t>
      </w:r>
      <w:r w:rsidR="00F626E7">
        <w:rPr>
          <w:b/>
          <w:sz w:val="24"/>
          <w:szCs w:val="24"/>
        </w:rPr>
        <w:t xml:space="preserve"> the Single Beneficiary</w:t>
      </w:r>
    </w:p>
    <w:p w14:paraId="71B2FF5A" w14:textId="77777777" w:rsidR="00C87D1A" w:rsidRDefault="00C87D1A" w:rsidP="004B6D2E">
      <w:pPr>
        <w:jc w:val="both"/>
        <w:rPr>
          <w:sz w:val="24"/>
          <w:szCs w:val="24"/>
        </w:rPr>
      </w:pPr>
      <w:r>
        <w:rPr>
          <w:sz w:val="24"/>
          <w:szCs w:val="24"/>
        </w:rPr>
        <w:t xml:space="preserve">The </w:t>
      </w:r>
      <w:r w:rsidRPr="00A4735F">
        <w:rPr>
          <w:rFonts w:ascii="Calibri" w:hAnsi="Calibri"/>
          <w:sz w:val="24"/>
          <w:szCs w:val="24"/>
        </w:rPr>
        <w:t xml:space="preserve">MA will </w:t>
      </w:r>
      <w:r>
        <w:rPr>
          <w:rFonts w:ascii="Calibri" w:hAnsi="Calibri"/>
          <w:sz w:val="24"/>
          <w:szCs w:val="24"/>
        </w:rPr>
        <w:t xml:space="preserve">continue to </w:t>
      </w:r>
      <w:r w:rsidRPr="00A4735F">
        <w:rPr>
          <w:rFonts w:ascii="Calibri" w:hAnsi="Calibri"/>
          <w:sz w:val="24"/>
          <w:szCs w:val="24"/>
        </w:rPr>
        <w:t xml:space="preserve">provide </w:t>
      </w:r>
      <w:r>
        <w:rPr>
          <w:rFonts w:ascii="Calibri" w:hAnsi="Calibri"/>
          <w:sz w:val="24"/>
          <w:szCs w:val="24"/>
        </w:rPr>
        <w:t xml:space="preserve">additional </w:t>
      </w:r>
      <w:r w:rsidRPr="00A4735F">
        <w:rPr>
          <w:rFonts w:ascii="Calibri" w:hAnsi="Calibri"/>
          <w:sz w:val="24"/>
          <w:szCs w:val="24"/>
        </w:rPr>
        <w:t xml:space="preserve">support to the Single Beneficiary in relation to the correct use of the ERDF support received and </w:t>
      </w:r>
      <w:r w:rsidR="00811942">
        <w:rPr>
          <w:rFonts w:ascii="Calibri" w:hAnsi="Calibri"/>
          <w:sz w:val="24"/>
          <w:szCs w:val="24"/>
        </w:rPr>
        <w:t xml:space="preserve">in order to ensure </w:t>
      </w:r>
      <w:r w:rsidRPr="00A4735F">
        <w:rPr>
          <w:rFonts w:ascii="Calibri" w:hAnsi="Calibri"/>
          <w:sz w:val="24"/>
          <w:szCs w:val="24"/>
        </w:rPr>
        <w:t xml:space="preserve">the </w:t>
      </w:r>
      <w:r>
        <w:rPr>
          <w:rFonts w:ascii="Calibri" w:hAnsi="Calibri"/>
          <w:sz w:val="24"/>
          <w:szCs w:val="24"/>
        </w:rPr>
        <w:t xml:space="preserve">smooth </w:t>
      </w:r>
      <w:r w:rsidRPr="00A4735F">
        <w:rPr>
          <w:rFonts w:ascii="Calibri" w:hAnsi="Calibri"/>
          <w:sz w:val="24"/>
          <w:szCs w:val="24"/>
        </w:rPr>
        <w:t xml:space="preserve">implementation of the Single Operation. </w:t>
      </w:r>
      <w:r w:rsidR="00DC23CC" w:rsidRPr="009E1198">
        <w:rPr>
          <w:sz w:val="24"/>
          <w:szCs w:val="24"/>
        </w:rPr>
        <w:t xml:space="preserve">In order to enable the </w:t>
      </w:r>
      <w:r w:rsidR="00947486">
        <w:rPr>
          <w:sz w:val="24"/>
          <w:szCs w:val="24"/>
        </w:rPr>
        <w:t>internal</w:t>
      </w:r>
      <w:r w:rsidR="00DC23CC" w:rsidRPr="009E1198">
        <w:rPr>
          <w:sz w:val="24"/>
          <w:szCs w:val="24"/>
        </w:rPr>
        <w:t xml:space="preserve"> information </w:t>
      </w:r>
      <w:r w:rsidR="00947486">
        <w:rPr>
          <w:sz w:val="24"/>
          <w:szCs w:val="24"/>
        </w:rPr>
        <w:t xml:space="preserve">flow </w:t>
      </w:r>
      <w:r w:rsidR="00DC23CC" w:rsidRPr="009E1198">
        <w:rPr>
          <w:sz w:val="24"/>
          <w:szCs w:val="24"/>
        </w:rPr>
        <w:t xml:space="preserve">between the various </w:t>
      </w:r>
      <w:r w:rsidR="00F626E7">
        <w:rPr>
          <w:sz w:val="24"/>
          <w:szCs w:val="24"/>
        </w:rPr>
        <w:t>authorities</w:t>
      </w:r>
      <w:r>
        <w:rPr>
          <w:sz w:val="24"/>
          <w:szCs w:val="24"/>
        </w:rPr>
        <w:t>/bodies</w:t>
      </w:r>
      <w:r w:rsidR="00F626E7">
        <w:rPr>
          <w:sz w:val="24"/>
          <w:szCs w:val="24"/>
        </w:rPr>
        <w:t xml:space="preserve"> </w:t>
      </w:r>
      <w:r>
        <w:rPr>
          <w:sz w:val="24"/>
          <w:szCs w:val="24"/>
        </w:rPr>
        <w:t xml:space="preserve">(e.g. the MA, CA, AA) </w:t>
      </w:r>
      <w:r w:rsidR="00F626E7">
        <w:rPr>
          <w:sz w:val="24"/>
          <w:szCs w:val="24"/>
        </w:rPr>
        <w:t xml:space="preserve">and the Single Beneficiary </w:t>
      </w:r>
      <w:r w:rsidR="00811942">
        <w:rPr>
          <w:sz w:val="24"/>
          <w:szCs w:val="24"/>
        </w:rPr>
        <w:t>continuous</w:t>
      </w:r>
      <w:r w:rsidR="00F626E7" w:rsidRPr="009E1198">
        <w:rPr>
          <w:sz w:val="24"/>
          <w:szCs w:val="24"/>
        </w:rPr>
        <w:t xml:space="preserve"> contacts</w:t>
      </w:r>
      <w:r w:rsidR="00811942">
        <w:rPr>
          <w:sz w:val="24"/>
          <w:szCs w:val="24"/>
        </w:rPr>
        <w:t xml:space="preserve">/meetings </w:t>
      </w:r>
      <w:r w:rsidR="00F626E7" w:rsidRPr="009E1198">
        <w:rPr>
          <w:sz w:val="24"/>
          <w:szCs w:val="24"/>
        </w:rPr>
        <w:t xml:space="preserve">between the different actors </w:t>
      </w:r>
      <w:r w:rsidR="00F626E7">
        <w:rPr>
          <w:sz w:val="24"/>
          <w:szCs w:val="24"/>
        </w:rPr>
        <w:t xml:space="preserve">will be implemented. </w:t>
      </w:r>
    </w:p>
    <w:p w14:paraId="7AFB191D" w14:textId="77777777" w:rsidR="00DC23CC" w:rsidRPr="00674002" w:rsidRDefault="00DC23CC" w:rsidP="00674002">
      <w:pPr>
        <w:pStyle w:val="ListParagraph"/>
        <w:numPr>
          <w:ilvl w:val="0"/>
          <w:numId w:val="7"/>
        </w:numPr>
        <w:jc w:val="both"/>
        <w:rPr>
          <w:sz w:val="24"/>
          <w:szCs w:val="24"/>
        </w:rPr>
      </w:pPr>
      <w:r w:rsidRPr="00674002">
        <w:rPr>
          <w:sz w:val="24"/>
          <w:szCs w:val="24"/>
        </w:rPr>
        <w:t>Target group</w:t>
      </w:r>
      <w:r w:rsidR="004B6D2E" w:rsidRPr="00674002">
        <w:rPr>
          <w:sz w:val="24"/>
          <w:szCs w:val="24"/>
        </w:rPr>
        <w:t>s</w:t>
      </w:r>
      <w:r w:rsidRPr="00674002">
        <w:rPr>
          <w:sz w:val="24"/>
          <w:szCs w:val="24"/>
        </w:rPr>
        <w:t xml:space="preserve">: </w:t>
      </w:r>
      <w:proofErr w:type="spellStart"/>
      <w:r w:rsidRPr="00674002">
        <w:rPr>
          <w:sz w:val="24"/>
          <w:szCs w:val="24"/>
        </w:rPr>
        <w:t>programme</w:t>
      </w:r>
      <w:proofErr w:type="spellEnd"/>
      <w:r w:rsidRPr="00674002">
        <w:rPr>
          <w:sz w:val="24"/>
          <w:szCs w:val="24"/>
        </w:rPr>
        <w:t xml:space="preserve"> owners and authorities.</w:t>
      </w:r>
    </w:p>
    <w:p w14:paraId="0DFF680C" w14:textId="77777777" w:rsidR="00DC23CC" w:rsidRPr="00674002" w:rsidRDefault="00DC23CC" w:rsidP="00674002">
      <w:pPr>
        <w:pStyle w:val="ListParagraph"/>
        <w:numPr>
          <w:ilvl w:val="0"/>
          <w:numId w:val="7"/>
        </w:numPr>
        <w:jc w:val="both"/>
        <w:rPr>
          <w:sz w:val="24"/>
          <w:szCs w:val="24"/>
        </w:rPr>
      </w:pPr>
      <w:r w:rsidRPr="00674002">
        <w:rPr>
          <w:sz w:val="24"/>
          <w:szCs w:val="24"/>
        </w:rPr>
        <w:t>Output indicator</w:t>
      </w:r>
      <w:r w:rsidR="004B6D2E" w:rsidRPr="00674002">
        <w:rPr>
          <w:sz w:val="24"/>
          <w:szCs w:val="24"/>
        </w:rPr>
        <w:t>s</w:t>
      </w:r>
      <w:r w:rsidRPr="00674002">
        <w:rPr>
          <w:sz w:val="24"/>
          <w:szCs w:val="24"/>
        </w:rPr>
        <w:t>: number of meetings held/year.</w:t>
      </w:r>
    </w:p>
    <w:p w14:paraId="1A47473D" w14:textId="77777777" w:rsidR="00947486" w:rsidRPr="00674002" w:rsidRDefault="00DC23CC" w:rsidP="00674002">
      <w:pPr>
        <w:pStyle w:val="ListParagraph"/>
        <w:numPr>
          <w:ilvl w:val="0"/>
          <w:numId w:val="7"/>
        </w:numPr>
        <w:jc w:val="both"/>
        <w:rPr>
          <w:sz w:val="24"/>
          <w:szCs w:val="24"/>
        </w:rPr>
      </w:pPr>
      <w:r w:rsidRPr="00674002">
        <w:rPr>
          <w:sz w:val="24"/>
          <w:szCs w:val="24"/>
        </w:rPr>
        <w:t>Result indicator: efficiency in performing the tasks.</w:t>
      </w:r>
    </w:p>
    <w:p w14:paraId="3B84AF73" w14:textId="77777777" w:rsidR="00F626E7" w:rsidRDefault="00F626E7" w:rsidP="00A728B7">
      <w:pPr>
        <w:keepNext/>
        <w:spacing w:before="240"/>
        <w:jc w:val="both"/>
        <w:rPr>
          <w:b/>
          <w:sz w:val="24"/>
          <w:szCs w:val="24"/>
        </w:rPr>
      </w:pPr>
      <w:r>
        <w:rPr>
          <w:b/>
          <w:sz w:val="24"/>
          <w:szCs w:val="24"/>
        </w:rPr>
        <w:t xml:space="preserve">Website on the </w:t>
      </w:r>
      <w:proofErr w:type="spellStart"/>
      <w:r>
        <w:rPr>
          <w:b/>
          <w:sz w:val="24"/>
          <w:szCs w:val="24"/>
        </w:rPr>
        <w:t>Programme</w:t>
      </w:r>
      <w:proofErr w:type="spellEnd"/>
      <w:r>
        <w:rPr>
          <w:b/>
          <w:sz w:val="24"/>
          <w:szCs w:val="24"/>
        </w:rPr>
        <w:t xml:space="preserve"> </w:t>
      </w:r>
      <w:r w:rsidR="00BC4D4F">
        <w:rPr>
          <w:b/>
          <w:sz w:val="24"/>
          <w:szCs w:val="24"/>
        </w:rPr>
        <w:t xml:space="preserve">at </w:t>
      </w:r>
      <w:r w:rsidR="00BC4D4F" w:rsidRPr="00BC4D4F">
        <w:rPr>
          <w:b/>
          <w:sz w:val="24"/>
          <w:szCs w:val="24"/>
        </w:rPr>
        <w:t>http://amenagement-territoire.public.lu/fr/espon2020.html</w:t>
      </w:r>
    </w:p>
    <w:p w14:paraId="6C4BA2C5" w14:textId="48E11FA0" w:rsidR="009E1198" w:rsidRDefault="00F626E7" w:rsidP="00F626E7">
      <w:pPr>
        <w:autoSpaceDE w:val="0"/>
        <w:autoSpaceDN w:val="0"/>
        <w:adjustRightInd w:val="0"/>
        <w:spacing w:after="0" w:line="240" w:lineRule="auto"/>
        <w:jc w:val="both"/>
        <w:rPr>
          <w:sz w:val="24"/>
          <w:szCs w:val="24"/>
        </w:rPr>
      </w:pPr>
      <w:r>
        <w:rPr>
          <w:sz w:val="24"/>
          <w:szCs w:val="24"/>
        </w:rPr>
        <w:t>The MA</w:t>
      </w:r>
      <w:r w:rsidR="00EE3AF5">
        <w:rPr>
          <w:sz w:val="24"/>
          <w:szCs w:val="24"/>
        </w:rPr>
        <w:t xml:space="preserve"> will ensure the continuous update on the MA’s</w:t>
      </w:r>
      <w:r>
        <w:rPr>
          <w:sz w:val="24"/>
          <w:szCs w:val="24"/>
        </w:rPr>
        <w:t xml:space="preserve"> webpage </w:t>
      </w:r>
      <w:r w:rsidR="001920FD">
        <w:rPr>
          <w:sz w:val="24"/>
          <w:szCs w:val="24"/>
        </w:rPr>
        <w:t xml:space="preserve">with </w:t>
      </w:r>
      <w:r w:rsidR="00811942">
        <w:rPr>
          <w:sz w:val="24"/>
          <w:szCs w:val="24"/>
        </w:rPr>
        <w:t xml:space="preserve">all the necessary </w:t>
      </w:r>
      <w:r w:rsidR="001920FD">
        <w:rPr>
          <w:sz w:val="24"/>
          <w:szCs w:val="24"/>
        </w:rPr>
        <w:t xml:space="preserve">information and data </w:t>
      </w:r>
      <w:r>
        <w:rPr>
          <w:sz w:val="24"/>
          <w:szCs w:val="24"/>
        </w:rPr>
        <w:t xml:space="preserve">on the progress of the </w:t>
      </w:r>
      <w:r w:rsidR="005C23CD">
        <w:rPr>
          <w:sz w:val="24"/>
          <w:szCs w:val="24"/>
        </w:rPr>
        <w:t>ESPON 2020</w:t>
      </w:r>
      <w:r>
        <w:rPr>
          <w:sz w:val="24"/>
          <w:szCs w:val="24"/>
        </w:rPr>
        <w:t xml:space="preserve"> </w:t>
      </w:r>
      <w:proofErr w:type="spellStart"/>
      <w:r>
        <w:rPr>
          <w:sz w:val="24"/>
          <w:szCs w:val="24"/>
        </w:rPr>
        <w:t>Programme</w:t>
      </w:r>
      <w:proofErr w:type="spellEnd"/>
      <w:r>
        <w:rPr>
          <w:sz w:val="24"/>
          <w:szCs w:val="24"/>
        </w:rPr>
        <w:t xml:space="preserve">. </w:t>
      </w:r>
      <w:r w:rsidR="00A728B7">
        <w:rPr>
          <w:sz w:val="24"/>
          <w:szCs w:val="24"/>
        </w:rPr>
        <w:t>During 202</w:t>
      </w:r>
      <w:r w:rsidR="00221E7B">
        <w:rPr>
          <w:sz w:val="24"/>
          <w:szCs w:val="24"/>
        </w:rPr>
        <w:t>2</w:t>
      </w:r>
      <w:r w:rsidR="00A728B7">
        <w:rPr>
          <w:sz w:val="24"/>
          <w:szCs w:val="24"/>
        </w:rPr>
        <w:t xml:space="preserve"> the </w:t>
      </w:r>
      <w:r w:rsidR="00A728B7">
        <w:rPr>
          <w:sz w:val="24"/>
          <w:szCs w:val="24"/>
        </w:rPr>
        <w:lastRenderedPageBreak/>
        <w:t xml:space="preserve">publication of the Annual Implementation Report </w:t>
      </w:r>
      <w:r w:rsidR="00900081">
        <w:rPr>
          <w:sz w:val="24"/>
          <w:szCs w:val="24"/>
        </w:rPr>
        <w:t xml:space="preserve">together with the Citizen Summary </w:t>
      </w:r>
      <w:r w:rsidR="00A728B7">
        <w:rPr>
          <w:sz w:val="24"/>
          <w:szCs w:val="24"/>
        </w:rPr>
        <w:t xml:space="preserve">will be ensured. </w:t>
      </w:r>
      <w:r w:rsidR="00AF6E1F">
        <w:rPr>
          <w:sz w:val="24"/>
          <w:szCs w:val="24"/>
        </w:rPr>
        <w:t xml:space="preserve">A dedicated </w:t>
      </w:r>
      <w:r w:rsidR="00C7026B">
        <w:rPr>
          <w:sz w:val="24"/>
          <w:szCs w:val="24"/>
        </w:rPr>
        <w:t>sub-</w:t>
      </w:r>
      <w:r w:rsidR="00AF6E1F">
        <w:rPr>
          <w:sz w:val="24"/>
          <w:szCs w:val="24"/>
        </w:rPr>
        <w:t xml:space="preserve">page </w:t>
      </w:r>
      <w:r w:rsidR="00EB2BC6">
        <w:rPr>
          <w:sz w:val="24"/>
          <w:szCs w:val="24"/>
        </w:rPr>
        <w:t>for the</w:t>
      </w:r>
      <w:r w:rsidR="00AF6E1F">
        <w:rPr>
          <w:sz w:val="24"/>
          <w:szCs w:val="24"/>
        </w:rPr>
        <w:t xml:space="preserve"> ‘Future ESPON</w:t>
      </w:r>
      <w:r w:rsidR="00DD0A15">
        <w:rPr>
          <w:sz w:val="24"/>
          <w:szCs w:val="24"/>
        </w:rPr>
        <w:t xml:space="preserve"> 2030</w:t>
      </w:r>
      <w:r w:rsidR="00AF6E1F">
        <w:rPr>
          <w:sz w:val="24"/>
          <w:szCs w:val="24"/>
        </w:rPr>
        <w:t xml:space="preserve"> </w:t>
      </w:r>
      <w:proofErr w:type="spellStart"/>
      <w:r w:rsidR="00AF6E1F">
        <w:rPr>
          <w:sz w:val="24"/>
          <w:szCs w:val="24"/>
        </w:rPr>
        <w:t>Programme</w:t>
      </w:r>
      <w:proofErr w:type="spellEnd"/>
      <w:r w:rsidR="00AF6E1F">
        <w:rPr>
          <w:sz w:val="24"/>
          <w:szCs w:val="24"/>
        </w:rPr>
        <w:t xml:space="preserve">’ </w:t>
      </w:r>
      <w:r w:rsidR="00DD0A15">
        <w:rPr>
          <w:sz w:val="24"/>
          <w:szCs w:val="24"/>
        </w:rPr>
        <w:t>is</w:t>
      </w:r>
      <w:r w:rsidR="00AF6E1F">
        <w:rPr>
          <w:sz w:val="24"/>
          <w:szCs w:val="24"/>
        </w:rPr>
        <w:t xml:space="preserve"> developed</w:t>
      </w:r>
      <w:r w:rsidR="00C7026B">
        <w:rPr>
          <w:sz w:val="24"/>
          <w:szCs w:val="24"/>
        </w:rPr>
        <w:t xml:space="preserve"> under the main page</w:t>
      </w:r>
      <w:r w:rsidR="00AF6E1F">
        <w:rPr>
          <w:sz w:val="24"/>
          <w:szCs w:val="24"/>
        </w:rPr>
        <w:t xml:space="preserve"> including </w:t>
      </w:r>
      <w:r w:rsidR="00C7026B">
        <w:rPr>
          <w:sz w:val="24"/>
          <w:szCs w:val="24"/>
        </w:rPr>
        <w:t>the programming process with its timeline</w:t>
      </w:r>
      <w:r w:rsidR="00AF6E1F">
        <w:rPr>
          <w:sz w:val="24"/>
          <w:szCs w:val="24"/>
        </w:rPr>
        <w:t>.</w:t>
      </w:r>
    </w:p>
    <w:p w14:paraId="2CB05129" w14:textId="77777777" w:rsidR="006E1520" w:rsidRPr="009E1198" w:rsidRDefault="006E1520" w:rsidP="00F626E7">
      <w:pPr>
        <w:autoSpaceDE w:val="0"/>
        <w:autoSpaceDN w:val="0"/>
        <w:adjustRightInd w:val="0"/>
        <w:spacing w:after="0" w:line="240" w:lineRule="auto"/>
        <w:jc w:val="both"/>
        <w:rPr>
          <w:sz w:val="24"/>
          <w:szCs w:val="24"/>
        </w:rPr>
      </w:pPr>
    </w:p>
    <w:p w14:paraId="03265376" w14:textId="77777777" w:rsidR="00680F4B" w:rsidRPr="00674002" w:rsidRDefault="009E1198" w:rsidP="00674002">
      <w:pPr>
        <w:pStyle w:val="ListParagraph"/>
        <w:numPr>
          <w:ilvl w:val="0"/>
          <w:numId w:val="9"/>
        </w:numPr>
        <w:jc w:val="both"/>
        <w:rPr>
          <w:sz w:val="24"/>
          <w:szCs w:val="24"/>
        </w:rPr>
      </w:pPr>
      <w:r w:rsidRPr="00674002">
        <w:rPr>
          <w:sz w:val="24"/>
          <w:szCs w:val="24"/>
        </w:rPr>
        <w:t>Target group</w:t>
      </w:r>
      <w:r w:rsidR="004B6D2E" w:rsidRPr="00674002">
        <w:rPr>
          <w:sz w:val="24"/>
          <w:szCs w:val="24"/>
        </w:rPr>
        <w:t>s</w:t>
      </w:r>
      <w:r w:rsidRPr="00674002">
        <w:rPr>
          <w:sz w:val="24"/>
          <w:szCs w:val="24"/>
        </w:rPr>
        <w:t xml:space="preserve">: general public, stakeholders, </w:t>
      </w:r>
      <w:proofErr w:type="spellStart"/>
      <w:r w:rsidRPr="00674002">
        <w:rPr>
          <w:sz w:val="24"/>
          <w:szCs w:val="24"/>
        </w:rPr>
        <w:t>programme</w:t>
      </w:r>
      <w:proofErr w:type="spellEnd"/>
      <w:r w:rsidRPr="00674002">
        <w:rPr>
          <w:sz w:val="24"/>
          <w:szCs w:val="24"/>
        </w:rPr>
        <w:t xml:space="preserve"> owners/authoritie</w:t>
      </w:r>
      <w:r w:rsidR="00934A61" w:rsidRPr="00674002">
        <w:rPr>
          <w:sz w:val="24"/>
          <w:szCs w:val="24"/>
        </w:rPr>
        <w:t>s.</w:t>
      </w:r>
    </w:p>
    <w:p w14:paraId="705C86DE" w14:textId="77777777" w:rsidR="009E1198" w:rsidRPr="00674002" w:rsidRDefault="009E1198" w:rsidP="00674002">
      <w:pPr>
        <w:pStyle w:val="ListParagraph"/>
        <w:numPr>
          <w:ilvl w:val="0"/>
          <w:numId w:val="9"/>
        </w:numPr>
        <w:jc w:val="both"/>
        <w:rPr>
          <w:sz w:val="24"/>
          <w:szCs w:val="24"/>
        </w:rPr>
      </w:pPr>
      <w:r w:rsidRPr="00674002">
        <w:rPr>
          <w:sz w:val="24"/>
          <w:szCs w:val="24"/>
        </w:rPr>
        <w:t>Output indicator: number of visits to the website.</w:t>
      </w:r>
    </w:p>
    <w:p w14:paraId="28AEEAEA" w14:textId="77777777" w:rsidR="006C392B" w:rsidRPr="00674002" w:rsidRDefault="009E1198" w:rsidP="00674002">
      <w:pPr>
        <w:pStyle w:val="ListParagraph"/>
        <w:numPr>
          <w:ilvl w:val="0"/>
          <w:numId w:val="9"/>
        </w:numPr>
        <w:jc w:val="both"/>
        <w:rPr>
          <w:sz w:val="24"/>
          <w:szCs w:val="24"/>
        </w:rPr>
      </w:pPr>
      <w:r w:rsidRPr="00674002">
        <w:rPr>
          <w:sz w:val="24"/>
          <w:szCs w:val="24"/>
        </w:rPr>
        <w:t xml:space="preserve">Result indicator: awareness and better knowledge of the </w:t>
      </w:r>
      <w:proofErr w:type="spellStart"/>
      <w:r w:rsidRPr="00674002">
        <w:rPr>
          <w:sz w:val="24"/>
          <w:szCs w:val="24"/>
        </w:rPr>
        <w:t>programme</w:t>
      </w:r>
      <w:proofErr w:type="spellEnd"/>
      <w:r w:rsidRPr="00674002">
        <w:rPr>
          <w:sz w:val="24"/>
          <w:szCs w:val="24"/>
        </w:rPr>
        <w:t xml:space="preserve"> framework.</w:t>
      </w:r>
    </w:p>
    <w:p w14:paraId="5976CB94" w14:textId="77777777" w:rsidR="004B6D2E" w:rsidRPr="004B6D2E" w:rsidRDefault="004B6D2E" w:rsidP="00DF77CF">
      <w:pPr>
        <w:spacing w:before="240"/>
        <w:jc w:val="both"/>
        <w:rPr>
          <w:b/>
          <w:sz w:val="24"/>
          <w:szCs w:val="24"/>
        </w:rPr>
      </w:pPr>
      <w:r w:rsidRPr="004B6D2E">
        <w:rPr>
          <w:b/>
          <w:sz w:val="24"/>
          <w:szCs w:val="24"/>
        </w:rPr>
        <w:t>Networking and external events</w:t>
      </w:r>
    </w:p>
    <w:p w14:paraId="3D6CCBED" w14:textId="0EB2BACA" w:rsidR="004B6D2E" w:rsidRDefault="008D3B65" w:rsidP="00A93C38">
      <w:pPr>
        <w:jc w:val="both"/>
        <w:rPr>
          <w:sz w:val="24"/>
          <w:szCs w:val="24"/>
        </w:rPr>
      </w:pPr>
      <w:r>
        <w:rPr>
          <w:sz w:val="24"/>
          <w:szCs w:val="24"/>
        </w:rPr>
        <w:t>The</w:t>
      </w:r>
      <w:r w:rsidR="004B6D2E">
        <w:rPr>
          <w:sz w:val="24"/>
          <w:szCs w:val="24"/>
        </w:rPr>
        <w:t xml:space="preserve"> </w:t>
      </w:r>
      <w:r w:rsidR="004B6D2E" w:rsidRPr="004B6D2E">
        <w:rPr>
          <w:sz w:val="24"/>
          <w:szCs w:val="24"/>
        </w:rPr>
        <w:t>Man</w:t>
      </w:r>
      <w:r w:rsidR="0037556F">
        <w:rPr>
          <w:sz w:val="24"/>
          <w:szCs w:val="24"/>
        </w:rPr>
        <w:t xml:space="preserve">aging Authority will </w:t>
      </w:r>
      <w:r>
        <w:rPr>
          <w:sz w:val="24"/>
          <w:szCs w:val="24"/>
        </w:rPr>
        <w:t>continue to</w:t>
      </w:r>
      <w:r w:rsidR="004B6D2E" w:rsidRPr="004B6D2E">
        <w:rPr>
          <w:sz w:val="24"/>
          <w:szCs w:val="24"/>
        </w:rPr>
        <w:t xml:space="preserve"> parti</w:t>
      </w:r>
      <w:r>
        <w:rPr>
          <w:sz w:val="24"/>
          <w:szCs w:val="24"/>
        </w:rPr>
        <w:t>cipate</w:t>
      </w:r>
      <w:r w:rsidR="004B6D2E" w:rsidRPr="004B6D2E">
        <w:rPr>
          <w:sz w:val="24"/>
          <w:szCs w:val="24"/>
        </w:rPr>
        <w:t xml:space="preserve"> in k</w:t>
      </w:r>
      <w:r w:rsidR="004B6D2E">
        <w:rPr>
          <w:sz w:val="24"/>
          <w:szCs w:val="24"/>
        </w:rPr>
        <w:t xml:space="preserve">ey occasions, such as </w:t>
      </w:r>
      <w:r w:rsidR="00C61BC8">
        <w:rPr>
          <w:sz w:val="24"/>
          <w:szCs w:val="24"/>
        </w:rPr>
        <w:t xml:space="preserve">conferences and seminars </w:t>
      </w:r>
      <w:proofErr w:type="spellStart"/>
      <w:r w:rsidR="004B6D2E" w:rsidRPr="004B6D2E">
        <w:rPr>
          <w:sz w:val="24"/>
          <w:szCs w:val="24"/>
        </w:rPr>
        <w:t>organised</w:t>
      </w:r>
      <w:proofErr w:type="spellEnd"/>
      <w:r w:rsidR="004B6D2E" w:rsidRPr="004B6D2E">
        <w:rPr>
          <w:sz w:val="24"/>
          <w:szCs w:val="24"/>
        </w:rPr>
        <w:t xml:space="preserve"> by different inst</w:t>
      </w:r>
      <w:r w:rsidR="004B6D2E">
        <w:rPr>
          <w:sz w:val="24"/>
          <w:szCs w:val="24"/>
        </w:rPr>
        <w:t xml:space="preserve">itutions and/or </w:t>
      </w:r>
      <w:proofErr w:type="spellStart"/>
      <w:r w:rsidR="004B6D2E">
        <w:rPr>
          <w:sz w:val="24"/>
          <w:szCs w:val="24"/>
        </w:rPr>
        <w:t>organisation</w:t>
      </w:r>
      <w:r w:rsidR="00DF77CF">
        <w:rPr>
          <w:sz w:val="24"/>
          <w:szCs w:val="24"/>
        </w:rPr>
        <w:t>s</w:t>
      </w:r>
      <w:proofErr w:type="spellEnd"/>
      <w:r w:rsidR="004B6D2E">
        <w:rPr>
          <w:sz w:val="24"/>
          <w:szCs w:val="24"/>
        </w:rPr>
        <w:t xml:space="preserve"> to present the ESPON 2020 </w:t>
      </w:r>
      <w:proofErr w:type="spellStart"/>
      <w:r w:rsidR="004B6D2E" w:rsidRPr="004B6D2E">
        <w:rPr>
          <w:sz w:val="24"/>
          <w:szCs w:val="24"/>
        </w:rPr>
        <w:t>Programme</w:t>
      </w:r>
      <w:proofErr w:type="spellEnd"/>
      <w:r w:rsidRPr="008D3B65">
        <w:rPr>
          <w:sz w:val="24"/>
          <w:szCs w:val="24"/>
        </w:rPr>
        <w:t xml:space="preserve"> </w:t>
      </w:r>
      <w:r>
        <w:rPr>
          <w:sz w:val="24"/>
          <w:szCs w:val="24"/>
        </w:rPr>
        <w:t>and</w:t>
      </w:r>
      <w:r w:rsidRPr="004B6D2E">
        <w:rPr>
          <w:sz w:val="24"/>
          <w:szCs w:val="24"/>
        </w:rPr>
        <w:t xml:space="preserve"> to promote </w:t>
      </w:r>
      <w:r>
        <w:rPr>
          <w:sz w:val="24"/>
          <w:szCs w:val="24"/>
        </w:rPr>
        <w:t>its</w:t>
      </w:r>
      <w:r w:rsidRPr="004B6D2E">
        <w:rPr>
          <w:sz w:val="24"/>
          <w:szCs w:val="24"/>
        </w:rPr>
        <w:t xml:space="preserve"> role played by the EU</w:t>
      </w:r>
      <w:r w:rsidR="001015FC">
        <w:rPr>
          <w:sz w:val="24"/>
          <w:szCs w:val="24"/>
        </w:rPr>
        <w:t xml:space="preserve">. </w:t>
      </w:r>
      <w:r w:rsidR="00A93C38" w:rsidRPr="004B6D2E">
        <w:rPr>
          <w:sz w:val="24"/>
          <w:szCs w:val="24"/>
        </w:rPr>
        <w:t xml:space="preserve">These interventions </w:t>
      </w:r>
      <w:r w:rsidR="00A93C38">
        <w:rPr>
          <w:sz w:val="24"/>
          <w:szCs w:val="24"/>
        </w:rPr>
        <w:t xml:space="preserve">can as well be coordinated with other activities in the </w:t>
      </w:r>
      <w:r w:rsidR="00A93C38" w:rsidRPr="004B6D2E">
        <w:rPr>
          <w:sz w:val="24"/>
          <w:szCs w:val="24"/>
        </w:rPr>
        <w:t>cooperation with the Single Beneficiary.</w:t>
      </w:r>
      <w:r w:rsidR="00A93C38">
        <w:rPr>
          <w:sz w:val="24"/>
          <w:szCs w:val="24"/>
        </w:rPr>
        <w:t xml:space="preserve"> </w:t>
      </w:r>
    </w:p>
    <w:p w14:paraId="11D810CD" w14:textId="77777777" w:rsidR="006E1520" w:rsidRPr="00C841CD" w:rsidRDefault="006E1520" w:rsidP="006E1520">
      <w:pPr>
        <w:spacing w:after="120"/>
        <w:jc w:val="both"/>
        <w:rPr>
          <w:sz w:val="24"/>
          <w:szCs w:val="24"/>
        </w:rPr>
      </w:pPr>
      <w:r w:rsidRPr="00C841CD">
        <w:rPr>
          <w:sz w:val="24"/>
          <w:szCs w:val="24"/>
        </w:rPr>
        <w:t>The following opportunities are of interest</w:t>
      </w:r>
      <w:r w:rsidR="00706E6E" w:rsidRPr="00C841CD">
        <w:rPr>
          <w:sz w:val="24"/>
          <w:szCs w:val="24"/>
        </w:rPr>
        <w:t xml:space="preserve"> (not exhaustive list)</w:t>
      </w:r>
      <w:r w:rsidRPr="00C841CD">
        <w:rPr>
          <w:sz w:val="24"/>
          <w:szCs w:val="24"/>
        </w:rPr>
        <w:t>:</w:t>
      </w:r>
    </w:p>
    <w:p w14:paraId="64617306" w14:textId="43F88A64" w:rsidR="006E1520" w:rsidRDefault="00AF44A5" w:rsidP="00AF44A5">
      <w:pPr>
        <w:pStyle w:val="ListParagraph"/>
        <w:numPr>
          <w:ilvl w:val="0"/>
          <w:numId w:val="6"/>
        </w:numPr>
        <w:spacing w:after="120"/>
        <w:jc w:val="both"/>
        <w:rPr>
          <w:sz w:val="24"/>
          <w:szCs w:val="24"/>
        </w:rPr>
      </w:pPr>
      <w:r w:rsidRPr="00AF44A5">
        <w:rPr>
          <w:sz w:val="24"/>
          <w:szCs w:val="24"/>
        </w:rPr>
        <w:t>European Week of Regions and Cities</w:t>
      </w:r>
      <w:r w:rsidR="006E1520">
        <w:rPr>
          <w:sz w:val="24"/>
          <w:szCs w:val="24"/>
        </w:rPr>
        <w:t>, October 20</w:t>
      </w:r>
      <w:r w:rsidR="00C463B1">
        <w:rPr>
          <w:sz w:val="24"/>
          <w:szCs w:val="24"/>
        </w:rPr>
        <w:t>2</w:t>
      </w:r>
      <w:r w:rsidR="004F1A09">
        <w:rPr>
          <w:sz w:val="24"/>
          <w:szCs w:val="24"/>
        </w:rPr>
        <w:t>2</w:t>
      </w:r>
    </w:p>
    <w:p w14:paraId="09868B71" w14:textId="77777777" w:rsidR="00706E6E" w:rsidRDefault="00706E6E" w:rsidP="004B6D2E">
      <w:pPr>
        <w:pStyle w:val="ListParagraph"/>
        <w:numPr>
          <w:ilvl w:val="0"/>
          <w:numId w:val="6"/>
        </w:numPr>
        <w:spacing w:after="120"/>
        <w:jc w:val="both"/>
        <w:rPr>
          <w:sz w:val="24"/>
          <w:szCs w:val="24"/>
        </w:rPr>
      </w:pPr>
      <w:r>
        <w:rPr>
          <w:sz w:val="24"/>
          <w:szCs w:val="24"/>
        </w:rPr>
        <w:t>Interact events organized in the framework of the Institutional Capacity Network</w:t>
      </w:r>
    </w:p>
    <w:p w14:paraId="09A034DD" w14:textId="77777777" w:rsidR="00706E6E" w:rsidRDefault="00706E6E" w:rsidP="004B6D2E">
      <w:pPr>
        <w:pStyle w:val="ListParagraph"/>
        <w:numPr>
          <w:ilvl w:val="0"/>
          <w:numId w:val="6"/>
        </w:numPr>
        <w:spacing w:after="120"/>
        <w:jc w:val="both"/>
        <w:rPr>
          <w:sz w:val="24"/>
          <w:szCs w:val="24"/>
        </w:rPr>
      </w:pPr>
      <w:r>
        <w:rPr>
          <w:sz w:val="24"/>
          <w:szCs w:val="24"/>
        </w:rPr>
        <w:t>Interreg Annual Event organized by the European Commission</w:t>
      </w:r>
    </w:p>
    <w:p w14:paraId="6218A859" w14:textId="04753A5E" w:rsidR="00706E6E" w:rsidRDefault="00706E6E" w:rsidP="004B6D2E">
      <w:pPr>
        <w:pStyle w:val="ListParagraph"/>
        <w:numPr>
          <w:ilvl w:val="0"/>
          <w:numId w:val="6"/>
        </w:numPr>
        <w:spacing w:after="120"/>
        <w:jc w:val="both"/>
        <w:rPr>
          <w:sz w:val="24"/>
          <w:szCs w:val="24"/>
        </w:rPr>
      </w:pPr>
      <w:r>
        <w:rPr>
          <w:sz w:val="24"/>
          <w:szCs w:val="24"/>
        </w:rPr>
        <w:t xml:space="preserve">Coordination meeting with URBACT, INTERREG EUROPE and INTERACT </w:t>
      </w:r>
      <w:proofErr w:type="spellStart"/>
      <w:r>
        <w:rPr>
          <w:sz w:val="24"/>
          <w:szCs w:val="24"/>
        </w:rPr>
        <w:t>programmes</w:t>
      </w:r>
      <w:proofErr w:type="spellEnd"/>
    </w:p>
    <w:p w14:paraId="204CD46F" w14:textId="2C4107C5" w:rsidR="00CC294D" w:rsidRDefault="00CC294D" w:rsidP="004B6D2E">
      <w:pPr>
        <w:pStyle w:val="ListParagraph"/>
        <w:numPr>
          <w:ilvl w:val="0"/>
          <w:numId w:val="6"/>
        </w:numPr>
        <w:spacing w:after="120"/>
        <w:jc w:val="both"/>
        <w:rPr>
          <w:sz w:val="24"/>
          <w:szCs w:val="24"/>
        </w:rPr>
      </w:pPr>
      <w:r>
        <w:rPr>
          <w:sz w:val="24"/>
          <w:szCs w:val="24"/>
        </w:rPr>
        <w:t>Coordination with the Commission’s se</w:t>
      </w:r>
      <w:r w:rsidR="00BD0B0F">
        <w:rPr>
          <w:sz w:val="24"/>
          <w:szCs w:val="24"/>
        </w:rPr>
        <w:t>r</w:t>
      </w:r>
      <w:r>
        <w:rPr>
          <w:sz w:val="24"/>
          <w:szCs w:val="24"/>
        </w:rPr>
        <w:t>vices related to knowle</w:t>
      </w:r>
      <w:r w:rsidR="00BD0B0F">
        <w:rPr>
          <w:sz w:val="24"/>
          <w:szCs w:val="24"/>
        </w:rPr>
        <w:t>dge production as JRC, DG Regio</w:t>
      </w:r>
    </w:p>
    <w:p w14:paraId="66FF42A9" w14:textId="5CD8FBCF" w:rsidR="00706E6E" w:rsidRPr="006E1520" w:rsidRDefault="00706E6E" w:rsidP="004B6D2E">
      <w:pPr>
        <w:pStyle w:val="ListParagraph"/>
        <w:numPr>
          <w:ilvl w:val="0"/>
          <w:numId w:val="6"/>
        </w:numPr>
        <w:spacing w:after="120"/>
        <w:jc w:val="both"/>
        <w:rPr>
          <w:sz w:val="24"/>
          <w:szCs w:val="24"/>
        </w:rPr>
      </w:pPr>
      <w:r>
        <w:rPr>
          <w:sz w:val="24"/>
          <w:szCs w:val="24"/>
        </w:rPr>
        <w:t xml:space="preserve">Relevant other events that could </w:t>
      </w:r>
      <w:r w:rsidR="00C841CD">
        <w:rPr>
          <w:sz w:val="24"/>
          <w:szCs w:val="24"/>
        </w:rPr>
        <w:t xml:space="preserve">provide </w:t>
      </w:r>
      <w:r>
        <w:rPr>
          <w:sz w:val="24"/>
          <w:szCs w:val="24"/>
        </w:rPr>
        <w:t>information for the next programming period</w:t>
      </w:r>
      <w:r w:rsidR="002F4C85">
        <w:rPr>
          <w:sz w:val="24"/>
          <w:szCs w:val="24"/>
        </w:rPr>
        <w:t xml:space="preserve"> </w:t>
      </w:r>
      <w:r w:rsidR="002F4C85" w:rsidRPr="00A93C38">
        <w:rPr>
          <w:sz w:val="24"/>
          <w:szCs w:val="24"/>
        </w:rPr>
        <w:t>in the field</w:t>
      </w:r>
      <w:r w:rsidR="002F4C85">
        <w:rPr>
          <w:sz w:val="24"/>
          <w:szCs w:val="24"/>
        </w:rPr>
        <w:t xml:space="preserve"> of </w:t>
      </w:r>
      <w:r w:rsidR="00640BA5">
        <w:rPr>
          <w:sz w:val="24"/>
          <w:szCs w:val="24"/>
        </w:rPr>
        <w:t xml:space="preserve">the </w:t>
      </w:r>
      <w:r w:rsidR="002F4C85" w:rsidRPr="00A93C38">
        <w:rPr>
          <w:sz w:val="24"/>
          <w:szCs w:val="24"/>
        </w:rPr>
        <w:t>new legislative fr</w:t>
      </w:r>
      <w:r w:rsidR="000377A0">
        <w:rPr>
          <w:sz w:val="24"/>
          <w:szCs w:val="24"/>
        </w:rPr>
        <w:t>amework</w:t>
      </w:r>
      <w:r w:rsidR="00640BA5">
        <w:rPr>
          <w:sz w:val="24"/>
          <w:szCs w:val="24"/>
        </w:rPr>
        <w:t xml:space="preserve">: simplified cost options, audit and management verification </w:t>
      </w:r>
      <w:r w:rsidR="000377A0">
        <w:rPr>
          <w:sz w:val="24"/>
          <w:szCs w:val="24"/>
        </w:rPr>
        <w:t xml:space="preserve">of the </w:t>
      </w:r>
      <w:r w:rsidR="00640BA5">
        <w:rPr>
          <w:sz w:val="24"/>
          <w:szCs w:val="24"/>
        </w:rPr>
        <w:t xml:space="preserve">ESPON 2030 </w:t>
      </w:r>
      <w:proofErr w:type="spellStart"/>
      <w:r w:rsidR="00640BA5">
        <w:rPr>
          <w:sz w:val="24"/>
          <w:szCs w:val="24"/>
        </w:rPr>
        <w:t>Programme</w:t>
      </w:r>
      <w:proofErr w:type="spellEnd"/>
      <w:r w:rsidR="00640BA5">
        <w:rPr>
          <w:sz w:val="24"/>
          <w:szCs w:val="24"/>
        </w:rPr>
        <w:t>.</w:t>
      </w:r>
    </w:p>
    <w:p w14:paraId="69AD2F8C" w14:textId="66609691" w:rsidR="00D8291C" w:rsidRDefault="00674002" w:rsidP="0037556F">
      <w:pPr>
        <w:keepNext/>
        <w:spacing w:before="240"/>
        <w:jc w:val="both"/>
        <w:rPr>
          <w:b/>
          <w:sz w:val="24"/>
          <w:szCs w:val="24"/>
        </w:rPr>
      </w:pPr>
      <w:r>
        <w:rPr>
          <w:b/>
          <w:sz w:val="24"/>
          <w:szCs w:val="24"/>
        </w:rPr>
        <w:t>Budget</w:t>
      </w:r>
      <w:r w:rsidR="006C392B" w:rsidRPr="00595A38">
        <w:rPr>
          <w:b/>
          <w:sz w:val="24"/>
          <w:szCs w:val="24"/>
        </w:rPr>
        <w:t xml:space="preserve"> </w:t>
      </w:r>
    </w:p>
    <w:p w14:paraId="23541F35" w14:textId="177560CE" w:rsidR="00966E21" w:rsidRDefault="00706E6E" w:rsidP="00966E21">
      <w:pPr>
        <w:autoSpaceDE w:val="0"/>
        <w:autoSpaceDN w:val="0"/>
        <w:adjustRightInd w:val="0"/>
        <w:spacing w:after="0" w:line="240" w:lineRule="auto"/>
        <w:jc w:val="both"/>
        <w:rPr>
          <w:rFonts w:cs="Calibri"/>
          <w:color w:val="000000"/>
          <w:sz w:val="24"/>
          <w:szCs w:val="24"/>
        </w:rPr>
      </w:pPr>
      <w:r w:rsidRPr="00706E6E">
        <w:rPr>
          <w:sz w:val="24"/>
          <w:szCs w:val="24"/>
        </w:rPr>
        <w:t xml:space="preserve">All </w:t>
      </w:r>
      <w:r>
        <w:rPr>
          <w:sz w:val="24"/>
          <w:szCs w:val="24"/>
        </w:rPr>
        <w:t>described activities</w:t>
      </w:r>
      <w:r w:rsidR="002F4C85">
        <w:rPr>
          <w:sz w:val="24"/>
          <w:szCs w:val="24"/>
        </w:rPr>
        <w:t xml:space="preserve"> except the Annual Information Event</w:t>
      </w:r>
      <w:r w:rsidR="00D504F8">
        <w:rPr>
          <w:sz w:val="24"/>
          <w:szCs w:val="24"/>
        </w:rPr>
        <w:t xml:space="preserve"> </w:t>
      </w:r>
      <w:r>
        <w:rPr>
          <w:sz w:val="24"/>
          <w:szCs w:val="24"/>
        </w:rPr>
        <w:t xml:space="preserve">will be implemented at no additional costs as they will be implemented directly by the MA support staff and travel covered by the travel budget lines under the Technical Assistance budget. </w:t>
      </w:r>
      <w:r w:rsidR="0057033E">
        <w:rPr>
          <w:rFonts w:cs="Calibri"/>
          <w:color w:val="000000"/>
          <w:sz w:val="24"/>
          <w:szCs w:val="24"/>
        </w:rPr>
        <w:t>I</w:t>
      </w:r>
      <w:r w:rsidR="00966E21">
        <w:rPr>
          <w:rFonts w:cs="Calibri"/>
          <w:color w:val="000000"/>
          <w:sz w:val="24"/>
          <w:szCs w:val="24"/>
        </w:rPr>
        <w:t>t has to be underlined that the amount already allocated for 202</w:t>
      </w:r>
      <w:r w:rsidR="00DD0A15">
        <w:rPr>
          <w:rFonts w:cs="Calibri"/>
          <w:color w:val="000000"/>
          <w:sz w:val="24"/>
          <w:szCs w:val="24"/>
        </w:rPr>
        <w:t>1</w:t>
      </w:r>
      <w:r w:rsidR="00966E21">
        <w:rPr>
          <w:rFonts w:cs="Calibri"/>
          <w:color w:val="000000"/>
          <w:sz w:val="24"/>
          <w:szCs w:val="24"/>
        </w:rPr>
        <w:t xml:space="preserve"> for th</w:t>
      </w:r>
      <w:r w:rsidR="00027E2E">
        <w:rPr>
          <w:rFonts w:cs="Calibri"/>
          <w:color w:val="000000"/>
          <w:sz w:val="24"/>
          <w:szCs w:val="24"/>
        </w:rPr>
        <w:t xml:space="preserve">e Annual information event have </w:t>
      </w:r>
      <w:r w:rsidR="00966E21">
        <w:rPr>
          <w:rFonts w:cs="Calibri"/>
          <w:color w:val="000000"/>
          <w:sz w:val="24"/>
          <w:szCs w:val="24"/>
        </w:rPr>
        <w:t>not been used and are transferred to 202</w:t>
      </w:r>
      <w:r w:rsidR="00DD0A15">
        <w:rPr>
          <w:rFonts w:cs="Calibri"/>
          <w:color w:val="000000"/>
          <w:sz w:val="24"/>
          <w:szCs w:val="24"/>
        </w:rPr>
        <w:t>2</w:t>
      </w:r>
      <w:r w:rsidR="00966E21">
        <w:rPr>
          <w:rFonts w:cs="Calibri"/>
          <w:color w:val="000000"/>
          <w:sz w:val="24"/>
          <w:szCs w:val="24"/>
        </w:rPr>
        <w:t xml:space="preserve">. </w:t>
      </w:r>
    </w:p>
    <w:tbl>
      <w:tblPr>
        <w:tblW w:w="9260" w:type="dxa"/>
        <w:tblInd w:w="93" w:type="dxa"/>
        <w:tblLook w:val="04A0" w:firstRow="1" w:lastRow="0" w:firstColumn="1" w:lastColumn="0" w:noHBand="0" w:noVBand="1"/>
      </w:tblPr>
      <w:tblGrid>
        <w:gridCol w:w="6455"/>
        <w:gridCol w:w="2805"/>
      </w:tblGrid>
      <w:tr w:rsidR="006C392B" w:rsidRPr="00595A38" w14:paraId="16B7DCA5" w14:textId="77777777" w:rsidTr="00674002">
        <w:trPr>
          <w:trHeight w:val="431"/>
        </w:trPr>
        <w:tc>
          <w:tcPr>
            <w:tcW w:w="6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B90D8" w14:textId="77777777" w:rsidR="006C392B" w:rsidRPr="00595A38" w:rsidRDefault="006C392B" w:rsidP="00674002">
            <w:pPr>
              <w:spacing w:after="0" w:line="192" w:lineRule="auto"/>
              <w:jc w:val="both"/>
              <w:rPr>
                <w:rFonts w:eastAsia="Times New Roman"/>
                <w:b/>
                <w:bCs/>
                <w:color w:val="000000"/>
                <w:sz w:val="24"/>
                <w:szCs w:val="24"/>
                <w:lang w:eastAsia="en-GB"/>
              </w:rPr>
            </w:pPr>
            <w:r w:rsidRPr="00595A38">
              <w:rPr>
                <w:rFonts w:eastAsia="Times New Roman"/>
                <w:b/>
                <w:bCs/>
                <w:color w:val="000000"/>
                <w:sz w:val="24"/>
                <w:szCs w:val="24"/>
                <w:lang w:eastAsia="en-GB"/>
              </w:rPr>
              <w:t>Activities</w:t>
            </w:r>
          </w:p>
        </w:tc>
        <w:tc>
          <w:tcPr>
            <w:tcW w:w="2805" w:type="dxa"/>
            <w:tcBorders>
              <w:top w:val="single" w:sz="4" w:space="0" w:color="auto"/>
              <w:left w:val="nil"/>
              <w:bottom w:val="single" w:sz="4" w:space="0" w:color="auto"/>
              <w:right w:val="single" w:sz="4" w:space="0" w:color="auto"/>
            </w:tcBorders>
            <w:shd w:val="clear" w:color="auto" w:fill="auto"/>
            <w:noWrap/>
            <w:vAlign w:val="center"/>
            <w:hideMark/>
          </w:tcPr>
          <w:p w14:paraId="41C0A648" w14:textId="27A39614" w:rsidR="006C392B" w:rsidRPr="00595A38" w:rsidRDefault="00C463B1" w:rsidP="00674002">
            <w:pPr>
              <w:spacing w:after="0" w:line="192" w:lineRule="auto"/>
              <w:jc w:val="center"/>
              <w:rPr>
                <w:rFonts w:eastAsia="Times New Roman"/>
                <w:b/>
                <w:bCs/>
                <w:color w:val="000000"/>
                <w:sz w:val="24"/>
                <w:szCs w:val="24"/>
                <w:lang w:eastAsia="en-GB"/>
              </w:rPr>
            </w:pPr>
            <w:r>
              <w:rPr>
                <w:rFonts w:eastAsia="Times New Roman"/>
                <w:b/>
                <w:bCs/>
                <w:color w:val="000000"/>
                <w:sz w:val="24"/>
                <w:szCs w:val="24"/>
                <w:lang w:eastAsia="en-GB"/>
              </w:rPr>
              <w:t>202</w:t>
            </w:r>
            <w:r w:rsidR="00DD0A15">
              <w:rPr>
                <w:rFonts w:eastAsia="Times New Roman"/>
                <w:b/>
                <w:bCs/>
                <w:color w:val="000000"/>
                <w:sz w:val="24"/>
                <w:szCs w:val="24"/>
                <w:lang w:eastAsia="en-GB"/>
              </w:rPr>
              <w:t>2</w:t>
            </w:r>
          </w:p>
        </w:tc>
      </w:tr>
      <w:tr w:rsidR="006C392B" w:rsidRPr="00595A38" w14:paraId="3A0BE3CB" w14:textId="77777777" w:rsidTr="00674002">
        <w:trPr>
          <w:trHeight w:val="187"/>
        </w:trPr>
        <w:tc>
          <w:tcPr>
            <w:tcW w:w="6455" w:type="dxa"/>
            <w:tcBorders>
              <w:top w:val="nil"/>
              <w:left w:val="single" w:sz="4" w:space="0" w:color="auto"/>
              <w:bottom w:val="single" w:sz="4" w:space="0" w:color="auto"/>
              <w:right w:val="single" w:sz="4" w:space="0" w:color="auto"/>
            </w:tcBorders>
            <w:shd w:val="clear" w:color="auto" w:fill="auto"/>
            <w:noWrap/>
            <w:vAlign w:val="bottom"/>
            <w:hideMark/>
          </w:tcPr>
          <w:p w14:paraId="26985A2B" w14:textId="77777777" w:rsidR="006C392B" w:rsidRPr="00595A38" w:rsidRDefault="006C392B" w:rsidP="00674002">
            <w:pPr>
              <w:spacing w:after="0" w:line="192" w:lineRule="auto"/>
              <w:jc w:val="both"/>
              <w:rPr>
                <w:rFonts w:eastAsia="Times New Roman"/>
                <w:color w:val="000000"/>
                <w:sz w:val="24"/>
                <w:szCs w:val="24"/>
                <w:lang w:eastAsia="en-GB"/>
              </w:rPr>
            </w:pPr>
            <w:r w:rsidRPr="00595A38">
              <w:rPr>
                <w:rFonts w:eastAsia="Times New Roman"/>
                <w:color w:val="000000"/>
                <w:sz w:val="24"/>
                <w:szCs w:val="24"/>
                <w:lang w:eastAsia="en-GB"/>
              </w:rPr>
              <w:t>Annual information activities</w:t>
            </w:r>
          </w:p>
        </w:tc>
        <w:tc>
          <w:tcPr>
            <w:tcW w:w="2805" w:type="dxa"/>
            <w:tcBorders>
              <w:top w:val="nil"/>
              <w:left w:val="nil"/>
              <w:bottom w:val="single" w:sz="4" w:space="0" w:color="auto"/>
              <w:right w:val="single" w:sz="4" w:space="0" w:color="auto"/>
            </w:tcBorders>
            <w:shd w:val="clear" w:color="auto" w:fill="auto"/>
            <w:noWrap/>
            <w:vAlign w:val="bottom"/>
            <w:hideMark/>
          </w:tcPr>
          <w:p w14:paraId="3DC7EE40" w14:textId="0E7D0EE5" w:rsidR="006C392B" w:rsidRPr="00595A38" w:rsidRDefault="00F75EFC" w:rsidP="00674002">
            <w:pPr>
              <w:spacing w:after="0" w:line="192" w:lineRule="auto"/>
              <w:jc w:val="center"/>
              <w:rPr>
                <w:rFonts w:eastAsia="Times New Roman"/>
                <w:color w:val="000000"/>
                <w:sz w:val="24"/>
                <w:szCs w:val="24"/>
                <w:lang w:eastAsia="en-GB"/>
              </w:rPr>
            </w:pPr>
            <w:r>
              <w:rPr>
                <w:rFonts w:eastAsia="Times New Roman"/>
                <w:color w:val="000000"/>
                <w:sz w:val="24"/>
                <w:szCs w:val="24"/>
                <w:lang w:eastAsia="en-GB"/>
              </w:rPr>
              <w:t>€</w:t>
            </w:r>
            <w:r w:rsidR="002D4664">
              <w:rPr>
                <w:rFonts w:eastAsia="Times New Roman"/>
                <w:color w:val="000000"/>
                <w:sz w:val="24"/>
                <w:szCs w:val="24"/>
                <w:lang w:eastAsia="en-GB"/>
              </w:rPr>
              <w:t>62</w:t>
            </w:r>
            <w:r w:rsidR="00C463B1">
              <w:rPr>
                <w:rFonts w:eastAsia="Times New Roman"/>
                <w:color w:val="000000"/>
                <w:sz w:val="24"/>
                <w:szCs w:val="24"/>
                <w:lang w:eastAsia="en-GB"/>
              </w:rPr>
              <w:t>.</w:t>
            </w:r>
            <w:r w:rsidR="002D4664">
              <w:rPr>
                <w:rFonts w:eastAsia="Times New Roman"/>
                <w:color w:val="000000"/>
                <w:sz w:val="24"/>
                <w:szCs w:val="24"/>
                <w:lang w:eastAsia="en-GB"/>
              </w:rPr>
              <w:t>227</w:t>
            </w:r>
          </w:p>
        </w:tc>
      </w:tr>
      <w:tr w:rsidR="006C392B" w:rsidRPr="00595A38" w14:paraId="3FC9EE34" w14:textId="77777777" w:rsidTr="00674002">
        <w:trPr>
          <w:trHeight w:val="187"/>
        </w:trPr>
        <w:tc>
          <w:tcPr>
            <w:tcW w:w="6455" w:type="dxa"/>
            <w:tcBorders>
              <w:top w:val="nil"/>
              <w:left w:val="single" w:sz="4" w:space="0" w:color="auto"/>
              <w:bottom w:val="single" w:sz="4" w:space="0" w:color="auto"/>
              <w:right w:val="single" w:sz="4" w:space="0" w:color="auto"/>
            </w:tcBorders>
            <w:shd w:val="clear" w:color="auto" w:fill="auto"/>
            <w:noWrap/>
            <w:vAlign w:val="bottom"/>
            <w:hideMark/>
          </w:tcPr>
          <w:p w14:paraId="752EB4B7" w14:textId="77777777" w:rsidR="006C392B" w:rsidRPr="00595A38" w:rsidRDefault="006C392B" w:rsidP="00674002">
            <w:pPr>
              <w:spacing w:after="0" w:line="192" w:lineRule="auto"/>
              <w:jc w:val="both"/>
              <w:rPr>
                <w:rFonts w:eastAsia="Times New Roman"/>
                <w:color w:val="000000"/>
                <w:sz w:val="24"/>
                <w:szCs w:val="24"/>
                <w:lang w:eastAsia="en-GB"/>
              </w:rPr>
            </w:pPr>
            <w:r w:rsidRPr="00595A38">
              <w:rPr>
                <w:rFonts w:eastAsia="Times New Roman"/>
                <w:color w:val="000000"/>
                <w:sz w:val="24"/>
                <w:szCs w:val="24"/>
                <w:lang w:eastAsia="en-GB"/>
              </w:rPr>
              <w:t>Networking at external event</w:t>
            </w:r>
          </w:p>
        </w:tc>
        <w:tc>
          <w:tcPr>
            <w:tcW w:w="2805" w:type="dxa"/>
            <w:tcBorders>
              <w:top w:val="nil"/>
              <w:left w:val="nil"/>
              <w:bottom w:val="single" w:sz="4" w:space="0" w:color="auto"/>
              <w:right w:val="single" w:sz="4" w:space="0" w:color="auto"/>
            </w:tcBorders>
            <w:shd w:val="clear" w:color="auto" w:fill="auto"/>
            <w:noWrap/>
            <w:vAlign w:val="bottom"/>
            <w:hideMark/>
          </w:tcPr>
          <w:p w14:paraId="1BD7C5BF" w14:textId="77777777" w:rsidR="006C392B" w:rsidRPr="00595A38" w:rsidRDefault="00885F49" w:rsidP="00674002">
            <w:pPr>
              <w:spacing w:after="0" w:line="192" w:lineRule="auto"/>
              <w:jc w:val="center"/>
              <w:rPr>
                <w:rFonts w:eastAsia="Times New Roman"/>
                <w:color w:val="000000"/>
                <w:sz w:val="24"/>
                <w:szCs w:val="24"/>
                <w:lang w:eastAsia="en-GB"/>
              </w:rPr>
            </w:pPr>
            <w:r w:rsidRPr="00595A38">
              <w:rPr>
                <w:rFonts w:eastAsia="Times New Roman"/>
                <w:color w:val="000000"/>
                <w:sz w:val="24"/>
                <w:szCs w:val="24"/>
                <w:lang w:eastAsia="en-GB"/>
              </w:rPr>
              <w:t>-</w:t>
            </w:r>
          </w:p>
        </w:tc>
      </w:tr>
      <w:tr w:rsidR="006C392B" w:rsidRPr="00595A38" w14:paraId="416D92E6" w14:textId="77777777" w:rsidTr="00674002">
        <w:trPr>
          <w:trHeight w:val="187"/>
        </w:trPr>
        <w:tc>
          <w:tcPr>
            <w:tcW w:w="6455" w:type="dxa"/>
            <w:tcBorders>
              <w:top w:val="nil"/>
              <w:left w:val="single" w:sz="4" w:space="0" w:color="auto"/>
              <w:bottom w:val="single" w:sz="4" w:space="0" w:color="auto"/>
              <w:right w:val="single" w:sz="4" w:space="0" w:color="auto"/>
            </w:tcBorders>
            <w:shd w:val="clear" w:color="auto" w:fill="auto"/>
            <w:noWrap/>
            <w:vAlign w:val="bottom"/>
            <w:hideMark/>
          </w:tcPr>
          <w:p w14:paraId="40C4151C" w14:textId="77777777" w:rsidR="006C392B" w:rsidRPr="00595A38" w:rsidRDefault="006C392B" w:rsidP="00674002">
            <w:pPr>
              <w:spacing w:after="0" w:line="192" w:lineRule="auto"/>
              <w:jc w:val="both"/>
              <w:rPr>
                <w:rFonts w:eastAsia="Times New Roman"/>
                <w:color w:val="000000"/>
                <w:sz w:val="24"/>
                <w:szCs w:val="24"/>
                <w:lang w:eastAsia="en-GB"/>
              </w:rPr>
            </w:pPr>
            <w:r w:rsidRPr="00595A38">
              <w:rPr>
                <w:rFonts w:eastAsia="Times New Roman"/>
                <w:color w:val="000000"/>
                <w:sz w:val="24"/>
                <w:szCs w:val="24"/>
                <w:lang w:eastAsia="en-GB"/>
              </w:rPr>
              <w:t>Information measures for the Single Beneficiary</w:t>
            </w:r>
          </w:p>
        </w:tc>
        <w:tc>
          <w:tcPr>
            <w:tcW w:w="2805" w:type="dxa"/>
            <w:tcBorders>
              <w:top w:val="nil"/>
              <w:left w:val="nil"/>
              <w:bottom w:val="single" w:sz="4" w:space="0" w:color="auto"/>
              <w:right w:val="single" w:sz="4" w:space="0" w:color="auto"/>
            </w:tcBorders>
            <w:shd w:val="clear" w:color="auto" w:fill="auto"/>
            <w:noWrap/>
            <w:vAlign w:val="bottom"/>
            <w:hideMark/>
          </w:tcPr>
          <w:p w14:paraId="3D6AB34E" w14:textId="77777777" w:rsidR="006C392B" w:rsidRPr="00595A38" w:rsidRDefault="004B6D2E" w:rsidP="00674002">
            <w:pPr>
              <w:spacing w:after="0" w:line="192" w:lineRule="auto"/>
              <w:jc w:val="center"/>
              <w:rPr>
                <w:rFonts w:eastAsia="Times New Roman"/>
                <w:color w:val="000000"/>
                <w:sz w:val="24"/>
                <w:szCs w:val="24"/>
                <w:lang w:eastAsia="en-GB"/>
              </w:rPr>
            </w:pPr>
            <w:r w:rsidRPr="00595A38">
              <w:rPr>
                <w:rFonts w:eastAsia="Times New Roman"/>
                <w:color w:val="000000"/>
                <w:sz w:val="24"/>
                <w:szCs w:val="24"/>
                <w:lang w:eastAsia="en-GB"/>
              </w:rPr>
              <w:t>-</w:t>
            </w:r>
          </w:p>
        </w:tc>
      </w:tr>
      <w:tr w:rsidR="00885F49" w:rsidRPr="00595A38" w14:paraId="46AE6E25" w14:textId="77777777" w:rsidTr="00674002">
        <w:trPr>
          <w:trHeight w:val="187"/>
        </w:trPr>
        <w:tc>
          <w:tcPr>
            <w:tcW w:w="6455" w:type="dxa"/>
            <w:tcBorders>
              <w:top w:val="nil"/>
              <w:left w:val="single" w:sz="4" w:space="0" w:color="auto"/>
              <w:bottom w:val="single" w:sz="4" w:space="0" w:color="auto"/>
              <w:right w:val="single" w:sz="4" w:space="0" w:color="auto"/>
            </w:tcBorders>
            <w:shd w:val="clear" w:color="auto" w:fill="auto"/>
            <w:noWrap/>
            <w:vAlign w:val="bottom"/>
          </w:tcPr>
          <w:p w14:paraId="23A95A0C" w14:textId="77777777" w:rsidR="00885F49" w:rsidRPr="00595A38" w:rsidRDefault="00885F49" w:rsidP="00674002">
            <w:pPr>
              <w:spacing w:after="0" w:line="192" w:lineRule="auto"/>
              <w:jc w:val="both"/>
              <w:rPr>
                <w:rFonts w:eastAsia="Times New Roman"/>
                <w:bCs/>
                <w:color w:val="000000"/>
                <w:sz w:val="24"/>
                <w:szCs w:val="24"/>
                <w:lang w:eastAsia="en-GB"/>
              </w:rPr>
            </w:pPr>
            <w:r w:rsidRPr="00595A38">
              <w:rPr>
                <w:rFonts w:eastAsia="Times New Roman"/>
                <w:bCs/>
                <w:color w:val="000000"/>
                <w:sz w:val="24"/>
                <w:szCs w:val="24"/>
                <w:lang w:eastAsia="en-GB"/>
              </w:rPr>
              <w:t>Web-</w:t>
            </w:r>
            <w:r w:rsidR="00406802" w:rsidRPr="00595A38">
              <w:rPr>
                <w:rFonts w:eastAsia="Times New Roman"/>
                <w:bCs/>
                <w:color w:val="000000"/>
                <w:sz w:val="24"/>
                <w:szCs w:val="24"/>
                <w:lang w:eastAsia="en-GB"/>
              </w:rPr>
              <w:t>porta</w:t>
            </w:r>
            <w:r w:rsidRPr="00595A38">
              <w:rPr>
                <w:rFonts w:eastAsia="Times New Roman"/>
                <w:bCs/>
                <w:color w:val="000000"/>
                <w:sz w:val="24"/>
                <w:szCs w:val="24"/>
                <w:lang w:eastAsia="en-GB"/>
              </w:rPr>
              <w:t>l</w:t>
            </w:r>
          </w:p>
        </w:tc>
        <w:tc>
          <w:tcPr>
            <w:tcW w:w="2805" w:type="dxa"/>
            <w:tcBorders>
              <w:top w:val="nil"/>
              <w:left w:val="nil"/>
              <w:bottom w:val="single" w:sz="4" w:space="0" w:color="auto"/>
              <w:right w:val="single" w:sz="4" w:space="0" w:color="auto"/>
            </w:tcBorders>
            <w:shd w:val="clear" w:color="auto" w:fill="auto"/>
            <w:noWrap/>
            <w:vAlign w:val="bottom"/>
          </w:tcPr>
          <w:p w14:paraId="32F045B1" w14:textId="77777777" w:rsidR="00885F49" w:rsidRPr="00A80248" w:rsidRDefault="00A80248" w:rsidP="00674002">
            <w:pPr>
              <w:spacing w:after="0" w:line="192" w:lineRule="auto"/>
              <w:jc w:val="center"/>
              <w:rPr>
                <w:rFonts w:eastAsia="Times New Roman"/>
                <w:bCs/>
                <w:color w:val="000000"/>
                <w:sz w:val="24"/>
                <w:szCs w:val="24"/>
                <w:lang w:eastAsia="en-GB"/>
              </w:rPr>
            </w:pPr>
            <w:r w:rsidRPr="00A80248">
              <w:rPr>
                <w:rFonts w:eastAsia="Times New Roman"/>
                <w:bCs/>
                <w:color w:val="000000"/>
                <w:sz w:val="24"/>
                <w:szCs w:val="24"/>
                <w:lang w:eastAsia="en-GB"/>
              </w:rPr>
              <w:t>-</w:t>
            </w:r>
            <w:r w:rsidR="000751EE" w:rsidRPr="00A80248">
              <w:rPr>
                <w:rFonts w:eastAsia="Times New Roman"/>
                <w:bCs/>
                <w:color w:val="000000"/>
                <w:sz w:val="24"/>
                <w:szCs w:val="24"/>
                <w:lang w:eastAsia="en-GB"/>
              </w:rPr>
              <w:t xml:space="preserve">  </w:t>
            </w:r>
          </w:p>
        </w:tc>
      </w:tr>
      <w:tr w:rsidR="00885F49" w:rsidRPr="00595A38" w14:paraId="6CB90931" w14:textId="77777777" w:rsidTr="00674002">
        <w:trPr>
          <w:trHeight w:val="187"/>
        </w:trPr>
        <w:tc>
          <w:tcPr>
            <w:tcW w:w="6455" w:type="dxa"/>
            <w:tcBorders>
              <w:top w:val="nil"/>
              <w:left w:val="single" w:sz="4" w:space="0" w:color="auto"/>
              <w:bottom w:val="single" w:sz="4" w:space="0" w:color="auto"/>
              <w:right w:val="single" w:sz="4" w:space="0" w:color="auto"/>
            </w:tcBorders>
            <w:shd w:val="clear" w:color="auto" w:fill="auto"/>
            <w:noWrap/>
            <w:vAlign w:val="bottom"/>
          </w:tcPr>
          <w:p w14:paraId="2CC448ED" w14:textId="77777777" w:rsidR="00885F49" w:rsidRPr="00595A38" w:rsidRDefault="00885F49" w:rsidP="00674002">
            <w:pPr>
              <w:spacing w:after="0" w:line="192" w:lineRule="auto"/>
              <w:jc w:val="both"/>
              <w:rPr>
                <w:rFonts w:eastAsia="Times New Roman"/>
                <w:bCs/>
                <w:color w:val="000000"/>
                <w:sz w:val="24"/>
                <w:szCs w:val="24"/>
                <w:lang w:eastAsia="en-GB"/>
              </w:rPr>
            </w:pPr>
            <w:r w:rsidRPr="00595A38">
              <w:rPr>
                <w:rFonts w:eastAsia="Times New Roman"/>
                <w:bCs/>
                <w:color w:val="000000"/>
                <w:sz w:val="24"/>
                <w:szCs w:val="24"/>
                <w:lang w:eastAsia="en-GB"/>
              </w:rPr>
              <w:t>Translation</w:t>
            </w:r>
          </w:p>
        </w:tc>
        <w:tc>
          <w:tcPr>
            <w:tcW w:w="2805" w:type="dxa"/>
            <w:tcBorders>
              <w:top w:val="nil"/>
              <w:left w:val="nil"/>
              <w:bottom w:val="single" w:sz="4" w:space="0" w:color="auto"/>
              <w:right w:val="single" w:sz="4" w:space="0" w:color="auto"/>
            </w:tcBorders>
            <w:shd w:val="clear" w:color="auto" w:fill="auto"/>
            <w:noWrap/>
            <w:vAlign w:val="bottom"/>
          </w:tcPr>
          <w:p w14:paraId="012E6A84" w14:textId="77777777" w:rsidR="00885F49" w:rsidRPr="00A80248" w:rsidRDefault="00A80248" w:rsidP="00674002">
            <w:pPr>
              <w:spacing w:after="0" w:line="192" w:lineRule="auto"/>
              <w:jc w:val="center"/>
              <w:rPr>
                <w:rFonts w:eastAsia="Times New Roman"/>
                <w:bCs/>
                <w:color w:val="000000"/>
                <w:sz w:val="24"/>
                <w:szCs w:val="24"/>
                <w:lang w:eastAsia="en-GB"/>
              </w:rPr>
            </w:pPr>
            <w:r w:rsidRPr="00A80248">
              <w:rPr>
                <w:rFonts w:eastAsia="Times New Roman"/>
                <w:bCs/>
                <w:color w:val="000000"/>
                <w:sz w:val="24"/>
                <w:szCs w:val="24"/>
                <w:lang w:eastAsia="en-GB"/>
              </w:rPr>
              <w:t>-</w:t>
            </w:r>
            <w:r w:rsidR="000751EE" w:rsidRPr="00A80248">
              <w:rPr>
                <w:rFonts w:eastAsia="Times New Roman"/>
                <w:bCs/>
                <w:color w:val="000000"/>
                <w:sz w:val="24"/>
                <w:szCs w:val="24"/>
                <w:lang w:eastAsia="en-GB"/>
              </w:rPr>
              <w:t xml:space="preserve"> </w:t>
            </w:r>
          </w:p>
        </w:tc>
      </w:tr>
      <w:tr w:rsidR="006C392B" w:rsidRPr="00595A38" w14:paraId="0CFCDA8A" w14:textId="77777777" w:rsidTr="00674002">
        <w:trPr>
          <w:trHeight w:val="187"/>
        </w:trPr>
        <w:tc>
          <w:tcPr>
            <w:tcW w:w="6455" w:type="dxa"/>
            <w:tcBorders>
              <w:top w:val="nil"/>
              <w:left w:val="single" w:sz="4" w:space="0" w:color="auto"/>
              <w:bottom w:val="single" w:sz="4" w:space="0" w:color="auto"/>
              <w:right w:val="single" w:sz="4" w:space="0" w:color="auto"/>
            </w:tcBorders>
            <w:shd w:val="clear" w:color="auto" w:fill="auto"/>
            <w:noWrap/>
            <w:vAlign w:val="bottom"/>
            <w:hideMark/>
          </w:tcPr>
          <w:p w14:paraId="11A28255" w14:textId="77777777" w:rsidR="006C392B" w:rsidRPr="0057033E" w:rsidRDefault="006C392B" w:rsidP="00674002">
            <w:pPr>
              <w:spacing w:after="0" w:line="192" w:lineRule="auto"/>
              <w:jc w:val="both"/>
              <w:rPr>
                <w:rFonts w:eastAsia="Times New Roman"/>
                <w:b/>
                <w:bCs/>
                <w:color w:val="000000"/>
                <w:sz w:val="24"/>
                <w:szCs w:val="24"/>
                <w:lang w:eastAsia="en-GB"/>
              </w:rPr>
            </w:pPr>
            <w:r w:rsidRPr="0057033E">
              <w:rPr>
                <w:rFonts w:eastAsia="Times New Roman"/>
                <w:b/>
                <w:bCs/>
                <w:color w:val="000000"/>
                <w:sz w:val="24"/>
                <w:szCs w:val="24"/>
                <w:lang w:eastAsia="en-GB"/>
              </w:rPr>
              <w:t>TOTAL</w:t>
            </w:r>
          </w:p>
        </w:tc>
        <w:tc>
          <w:tcPr>
            <w:tcW w:w="2805" w:type="dxa"/>
            <w:tcBorders>
              <w:top w:val="nil"/>
              <w:left w:val="nil"/>
              <w:bottom w:val="single" w:sz="4" w:space="0" w:color="auto"/>
              <w:right w:val="single" w:sz="4" w:space="0" w:color="auto"/>
            </w:tcBorders>
            <w:shd w:val="clear" w:color="auto" w:fill="auto"/>
            <w:noWrap/>
            <w:vAlign w:val="bottom"/>
            <w:hideMark/>
          </w:tcPr>
          <w:p w14:paraId="226EBAB1" w14:textId="6EB12DFF" w:rsidR="006C392B" w:rsidRPr="0057033E" w:rsidRDefault="00F75EFC" w:rsidP="00674002">
            <w:pPr>
              <w:spacing w:after="0" w:line="192" w:lineRule="auto"/>
              <w:jc w:val="center"/>
              <w:rPr>
                <w:rFonts w:eastAsia="Times New Roman"/>
                <w:b/>
                <w:bCs/>
                <w:color w:val="000000"/>
                <w:sz w:val="24"/>
                <w:szCs w:val="24"/>
                <w:lang w:eastAsia="en-GB"/>
              </w:rPr>
            </w:pPr>
            <w:r>
              <w:rPr>
                <w:rFonts w:eastAsia="Times New Roman"/>
                <w:b/>
                <w:bCs/>
                <w:color w:val="000000"/>
                <w:sz w:val="24"/>
                <w:szCs w:val="24"/>
                <w:lang w:eastAsia="en-GB"/>
              </w:rPr>
              <w:t>€</w:t>
            </w:r>
            <w:r w:rsidR="002D4664">
              <w:rPr>
                <w:rFonts w:eastAsia="Times New Roman"/>
                <w:b/>
                <w:bCs/>
                <w:color w:val="000000"/>
                <w:sz w:val="24"/>
                <w:szCs w:val="24"/>
                <w:lang w:eastAsia="en-GB"/>
              </w:rPr>
              <w:t>62</w:t>
            </w:r>
            <w:r w:rsidR="00C463B1" w:rsidRPr="0057033E">
              <w:rPr>
                <w:rFonts w:eastAsia="Times New Roman"/>
                <w:b/>
                <w:bCs/>
                <w:color w:val="000000"/>
                <w:sz w:val="24"/>
                <w:szCs w:val="24"/>
                <w:lang w:eastAsia="en-GB"/>
              </w:rPr>
              <w:t>.</w:t>
            </w:r>
            <w:r w:rsidR="002D4664">
              <w:rPr>
                <w:rFonts w:eastAsia="Times New Roman"/>
                <w:b/>
                <w:bCs/>
                <w:color w:val="000000"/>
                <w:sz w:val="24"/>
                <w:szCs w:val="24"/>
                <w:lang w:eastAsia="en-GB"/>
              </w:rPr>
              <w:t>227</w:t>
            </w:r>
          </w:p>
        </w:tc>
      </w:tr>
    </w:tbl>
    <w:p w14:paraId="3830662B" w14:textId="5D9B2B11" w:rsidR="00442250" w:rsidRDefault="00674002" w:rsidP="00674002">
      <w:pPr>
        <w:tabs>
          <w:tab w:val="center" w:pos="4680"/>
        </w:tabs>
        <w:spacing w:before="120"/>
        <w:jc w:val="center"/>
        <w:rPr>
          <w:b/>
          <w:sz w:val="24"/>
          <w:szCs w:val="24"/>
        </w:rPr>
      </w:pPr>
      <w:r>
        <w:rPr>
          <w:b/>
          <w:sz w:val="24"/>
          <w:szCs w:val="24"/>
        </w:rPr>
        <w:t>_________________________</w:t>
      </w:r>
    </w:p>
    <w:sectPr w:rsidR="00442250" w:rsidSect="00DF77CF">
      <w:headerReference w:type="even" r:id="rId7"/>
      <w:headerReference w:type="default" r:id="rId8"/>
      <w:footerReference w:type="even" r:id="rId9"/>
      <w:footerReference w:type="default" r:id="rId10"/>
      <w:headerReference w:type="first" r:id="rId11"/>
      <w:footerReference w:type="first" r:id="rId12"/>
      <w:pgSz w:w="12240" w:h="15840"/>
      <w:pgMar w:top="19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7F165" w14:textId="77777777" w:rsidR="00C35831" w:rsidRDefault="00C35831" w:rsidP="009E1198">
      <w:pPr>
        <w:spacing w:after="0" w:line="240" w:lineRule="auto"/>
      </w:pPr>
      <w:r>
        <w:separator/>
      </w:r>
    </w:p>
  </w:endnote>
  <w:endnote w:type="continuationSeparator" w:id="0">
    <w:p w14:paraId="5FC0A985" w14:textId="77777777" w:rsidR="00C35831" w:rsidRDefault="00C35831" w:rsidP="009E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24C1" w14:textId="77777777" w:rsidR="007033C2" w:rsidRDefault="00703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E461" w14:textId="77777777" w:rsidR="007033C2" w:rsidRDefault="00703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A2C3" w14:textId="77777777" w:rsidR="007033C2" w:rsidRDefault="0070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31602" w14:textId="77777777" w:rsidR="00C35831" w:rsidRDefault="00C35831" w:rsidP="009E1198">
      <w:pPr>
        <w:spacing w:after="0" w:line="240" w:lineRule="auto"/>
      </w:pPr>
      <w:r>
        <w:separator/>
      </w:r>
    </w:p>
  </w:footnote>
  <w:footnote w:type="continuationSeparator" w:id="0">
    <w:p w14:paraId="1976A357" w14:textId="77777777" w:rsidR="00C35831" w:rsidRDefault="00C35831" w:rsidP="009E1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0C49" w14:textId="77777777" w:rsidR="007033C2" w:rsidRDefault="00703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752F" w14:textId="74FB44C4" w:rsidR="009E1198" w:rsidRDefault="00C47DC7" w:rsidP="009E1198">
    <w:pPr>
      <w:pStyle w:val="Header"/>
      <w:jc w:val="right"/>
    </w:pPr>
    <w:r>
      <w:t>Approved by the</w:t>
    </w:r>
    <w:r w:rsidR="00BB53CA">
      <w:t xml:space="preserve"> </w:t>
    </w:r>
    <w:r w:rsidR="009E1198">
      <w:t xml:space="preserve">ESPON 2020 Monitoring Committee on </w:t>
    </w:r>
    <w:r w:rsidR="00F56500">
      <w:t>29</w:t>
    </w:r>
    <w:r w:rsidR="00C463B1">
      <w:t xml:space="preserve"> November 20</w:t>
    </w:r>
    <w:r w:rsidR="004D0E4B">
      <w:t>2</w:t>
    </w:r>
    <w:r w:rsidR="00F56500">
      <w:t>1</w:t>
    </w:r>
  </w:p>
  <w:p w14:paraId="16395488" w14:textId="1D525B1F" w:rsidR="009E1198" w:rsidRDefault="009E1198" w:rsidP="009E1198">
    <w:pPr>
      <w:pStyle w:val="Header"/>
      <w:jc w:val="right"/>
    </w:pPr>
    <w:r>
      <w:t>Age</w:t>
    </w:r>
    <w:r w:rsidR="00C463B1">
      <w:t>nda Point 3.3</w:t>
    </w:r>
    <w:r w:rsidR="00416FB8">
      <w:t>.b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58C1" w14:textId="77777777" w:rsidR="007033C2" w:rsidRDefault="0070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DEF"/>
    <w:multiLevelType w:val="hybridMultilevel"/>
    <w:tmpl w:val="556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53E21"/>
    <w:multiLevelType w:val="hybridMultilevel"/>
    <w:tmpl w:val="5B1A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65A32"/>
    <w:multiLevelType w:val="hybridMultilevel"/>
    <w:tmpl w:val="0520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D79AC"/>
    <w:multiLevelType w:val="hybridMultilevel"/>
    <w:tmpl w:val="952089C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3D24FB7"/>
    <w:multiLevelType w:val="hybridMultilevel"/>
    <w:tmpl w:val="FE1C359E"/>
    <w:lvl w:ilvl="0" w:tplc="41E083D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6D28EC"/>
    <w:multiLevelType w:val="hybridMultilevel"/>
    <w:tmpl w:val="5470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90445"/>
    <w:multiLevelType w:val="hybridMultilevel"/>
    <w:tmpl w:val="01AA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713C2"/>
    <w:multiLevelType w:val="hybridMultilevel"/>
    <w:tmpl w:val="4BCC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C1D91"/>
    <w:multiLevelType w:val="hybridMultilevel"/>
    <w:tmpl w:val="14E6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CC"/>
    <w:rsid w:val="00004461"/>
    <w:rsid w:val="00012249"/>
    <w:rsid w:val="00027E2E"/>
    <w:rsid w:val="00033597"/>
    <w:rsid w:val="000377A0"/>
    <w:rsid w:val="00043248"/>
    <w:rsid w:val="0005552E"/>
    <w:rsid w:val="000751EE"/>
    <w:rsid w:val="000A21A0"/>
    <w:rsid w:val="000A496E"/>
    <w:rsid w:val="000D3707"/>
    <w:rsid w:val="000E666D"/>
    <w:rsid w:val="001015FC"/>
    <w:rsid w:val="00171F6F"/>
    <w:rsid w:val="001920FD"/>
    <w:rsid w:val="00194EE6"/>
    <w:rsid w:val="001E7C74"/>
    <w:rsid w:val="00201780"/>
    <w:rsid w:val="002038A4"/>
    <w:rsid w:val="00221E7B"/>
    <w:rsid w:val="00237B6D"/>
    <w:rsid w:val="00245313"/>
    <w:rsid w:val="00290ED7"/>
    <w:rsid w:val="002A55FF"/>
    <w:rsid w:val="002B08EC"/>
    <w:rsid w:val="002D4664"/>
    <w:rsid w:val="002E4738"/>
    <w:rsid w:val="002F0D15"/>
    <w:rsid w:val="002F456D"/>
    <w:rsid w:val="002F4C85"/>
    <w:rsid w:val="003027F3"/>
    <w:rsid w:val="00346AB1"/>
    <w:rsid w:val="003620CA"/>
    <w:rsid w:val="00366DB7"/>
    <w:rsid w:val="0037556F"/>
    <w:rsid w:val="003D3D5C"/>
    <w:rsid w:val="003E2ECC"/>
    <w:rsid w:val="003F378F"/>
    <w:rsid w:val="00406802"/>
    <w:rsid w:val="00411D93"/>
    <w:rsid w:val="00416FB8"/>
    <w:rsid w:val="0044006B"/>
    <w:rsid w:val="00442250"/>
    <w:rsid w:val="004631BF"/>
    <w:rsid w:val="00470B5D"/>
    <w:rsid w:val="00480194"/>
    <w:rsid w:val="004A1529"/>
    <w:rsid w:val="004B6D2E"/>
    <w:rsid w:val="004D0E4B"/>
    <w:rsid w:val="004F1A09"/>
    <w:rsid w:val="004F46CE"/>
    <w:rsid w:val="004F67A3"/>
    <w:rsid w:val="0050128D"/>
    <w:rsid w:val="0053594C"/>
    <w:rsid w:val="0057033E"/>
    <w:rsid w:val="005773AC"/>
    <w:rsid w:val="00595A38"/>
    <w:rsid w:val="005B7F0C"/>
    <w:rsid w:val="005C23CD"/>
    <w:rsid w:val="005D6496"/>
    <w:rsid w:val="005D7B86"/>
    <w:rsid w:val="00621D25"/>
    <w:rsid w:val="00636B52"/>
    <w:rsid w:val="00640BA5"/>
    <w:rsid w:val="00651E28"/>
    <w:rsid w:val="0067064A"/>
    <w:rsid w:val="00674002"/>
    <w:rsid w:val="00680F4B"/>
    <w:rsid w:val="006C2D78"/>
    <w:rsid w:val="006C392B"/>
    <w:rsid w:val="006E1520"/>
    <w:rsid w:val="007033C2"/>
    <w:rsid w:val="00706E6E"/>
    <w:rsid w:val="00772FF5"/>
    <w:rsid w:val="00777F54"/>
    <w:rsid w:val="00786D9B"/>
    <w:rsid w:val="00796BE5"/>
    <w:rsid w:val="007C2CDE"/>
    <w:rsid w:val="007E744E"/>
    <w:rsid w:val="00811942"/>
    <w:rsid w:val="00834722"/>
    <w:rsid w:val="00835342"/>
    <w:rsid w:val="00840997"/>
    <w:rsid w:val="00843BAA"/>
    <w:rsid w:val="00863C8F"/>
    <w:rsid w:val="00874DAD"/>
    <w:rsid w:val="00885F49"/>
    <w:rsid w:val="008C0000"/>
    <w:rsid w:val="008D3B65"/>
    <w:rsid w:val="00900081"/>
    <w:rsid w:val="00925C56"/>
    <w:rsid w:val="00934A61"/>
    <w:rsid w:val="00947486"/>
    <w:rsid w:val="00950357"/>
    <w:rsid w:val="009652FA"/>
    <w:rsid w:val="00966E21"/>
    <w:rsid w:val="009B2900"/>
    <w:rsid w:val="009E1198"/>
    <w:rsid w:val="00A366E2"/>
    <w:rsid w:val="00A728B7"/>
    <w:rsid w:val="00A80248"/>
    <w:rsid w:val="00A84D8A"/>
    <w:rsid w:val="00A93C38"/>
    <w:rsid w:val="00AA5372"/>
    <w:rsid w:val="00AB04A1"/>
    <w:rsid w:val="00AF44A5"/>
    <w:rsid w:val="00AF6E1F"/>
    <w:rsid w:val="00AF79AD"/>
    <w:rsid w:val="00B52C2A"/>
    <w:rsid w:val="00B7509F"/>
    <w:rsid w:val="00B938EC"/>
    <w:rsid w:val="00B965FE"/>
    <w:rsid w:val="00BB53CA"/>
    <w:rsid w:val="00BC4D4F"/>
    <w:rsid w:val="00BD0B0F"/>
    <w:rsid w:val="00BF109A"/>
    <w:rsid w:val="00C11991"/>
    <w:rsid w:val="00C17D63"/>
    <w:rsid w:val="00C212D2"/>
    <w:rsid w:val="00C35831"/>
    <w:rsid w:val="00C463B1"/>
    <w:rsid w:val="00C47DC7"/>
    <w:rsid w:val="00C61BC8"/>
    <w:rsid w:val="00C6551C"/>
    <w:rsid w:val="00C7026B"/>
    <w:rsid w:val="00C841CD"/>
    <w:rsid w:val="00C87D1A"/>
    <w:rsid w:val="00C94CC9"/>
    <w:rsid w:val="00C961C9"/>
    <w:rsid w:val="00CA6FC8"/>
    <w:rsid w:val="00CB65EE"/>
    <w:rsid w:val="00CB6B82"/>
    <w:rsid w:val="00CC1131"/>
    <w:rsid w:val="00CC294D"/>
    <w:rsid w:val="00D504F8"/>
    <w:rsid w:val="00D66F0D"/>
    <w:rsid w:val="00D8291C"/>
    <w:rsid w:val="00DA6D00"/>
    <w:rsid w:val="00DB698D"/>
    <w:rsid w:val="00DC23CC"/>
    <w:rsid w:val="00DD0A15"/>
    <w:rsid w:val="00DF77CF"/>
    <w:rsid w:val="00E040D4"/>
    <w:rsid w:val="00E144DC"/>
    <w:rsid w:val="00E3099B"/>
    <w:rsid w:val="00E37430"/>
    <w:rsid w:val="00E40915"/>
    <w:rsid w:val="00E47B15"/>
    <w:rsid w:val="00E55ACA"/>
    <w:rsid w:val="00E762AD"/>
    <w:rsid w:val="00E93A0C"/>
    <w:rsid w:val="00E94912"/>
    <w:rsid w:val="00EB2BC6"/>
    <w:rsid w:val="00ED7E03"/>
    <w:rsid w:val="00ED7FCD"/>
    <w:rsid w:val="00EE3AF5"/>
    <w:rsid w:val="00F013B9"/>
    <w:rsid w:val="00F10767"/>
    <w:rsid w:val="00F56500"/>
    <w:rsid w:val="00F626E7"/>
    <w:rsid w:val="00F75EFC"/>
    <w:rsid w:val="00FB431B"/>
    <w:rsid w:val="00FB535F"/>
    <w:rsid w:val="00FC41DE"/>
    <w:rsid w:val="00FC68ED"/>
    <w:rsid w:val="00FC7BDC"/>
    <w:rsid w:val="00FD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7B20"/>
  <w15:chartTrackingRefBased/>
  <w15:docId w15:val="{CF9AF8B3-D6EF-4D2B-A1FD-C8B2FDD5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CC"/>
    <w:pPr>
      <w:ind w:left="720"/>
      <w:contextualSpacing/>
    </w:pPr>
  </w:style>
  <w:style w:type="paragraph" w:styleId="Header">
    <w:name w:val="header"/>
    <w:basedOn w:val="Normal"/>
    <w:link w:val="HeaderChar"/>
    <w:uiPriority w:val="99"/>
    <w:unhideWhenUsed/>
    <w:rsid w:val="009E1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98"/>
  </w:style>
  <w:style w:type="paragraph" w:styleId="Footer">
    <w:name w:val="footer"/>
    <w:basedOn w:val="Normal"/>
    <w:link w:val="FooterChar"/>
    <w:uiPriority w:val="99"/>
    <w:unhideWhenUsed/>
    <w:rsid w:val="009E1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98"/>
  </w:style>
  <w:style w:type="character" w:styleId="Hyperlink">
    <w:name w:val="Hyperlink"/>
    <w:basedOn w:val="DefaultParagraphFont"/>
    <w:uiPriority w:val="99"/>
    <w:unhideWhenUsed/>
    <w:rsid w:val="00636B52"/>
    <w:rPr>
      <w:color w:val="0563C1" w:themeColor="hyperlink"/>
      <w:u w:val="single"/>
    </w:rPr>
  </w:style>
  <w:style w:type="character" w:styleId="CommentReference">
    <w:name w:val="annotation reference"/>
    <w:basedOn w:val="DefaultParagraphFont"/>
    <w:uiPriority w:val="99"/>
    <w:semiHidden/>
    <w:unhideWhenUsed/>
    <w:rsid w:val="00A728B7"/>
    <w:rPr>
      <w:sz w:val="16"/>
      <w:szCs w:val="16"/>
    </w:rPr>
  </w:style>
  <w:style w:type="paragraph" w:styleId="CommentText">
    <w:name w:val="annotation text"/>
    <w:basedOn w:val="Normal"/>
    <w:link w:val="CommentTextChar"/>
    <w:uiPriority w:val="99"/>
    <w:semiHidden/>
    <w:unhideWhenUsed/>
    <w:rsid w:val="00A728B7"/>
    <w:pPr>
      <w:spacing w:line="240" w:lineRule="auto"/>
    </w:pPr>
    <w:rPr>
      <w:sz w:val="20"/>
      <w:szCs w:val="20"/>
    </w:rPr>
  </w:style>
  <w:style w:type="character" w:customStyle="1" w:styleId="CommentTextChar">
    <w:name w:val="Comment Text Char"/>
    <w:basedOn w:val="DefaultParagraphFont"/>
    <w:link w:val="CommentText"/>
    <w:uiPriority w:val="99"/>
    <w:semiHidden/>
    <w:rsid w:val="00A728B7"/>
    <w:rPr>
      <w:sz w:val="20"/>
      <w:szCs w:val="20"/>
    </w:rPr>
  </w:style>
  <w:style w:type="paragraph" w:styleId="CommentSubject">
    <w:name w:val="annotation subject"/>
    <w:basedOn w:val="CommentText"/>
    <w:next w:val="CommentText"/>
    <w:link w:val="CommentSubjectChar"/>
    <w:uiPriority w:val="99"/>
    <w:semiHidden/>
    <w:unhideWhenUsed/>
    <w:rsid w:val="00A728B7"/>
    <w:rPr>
      <w:b/>
      <w:bCs/>
    </w:rPr>
  </w:style>
  <w:style w:type="character" w:customStyle="1" w:styleId="CommentSubjectChar">
    <w:name w:val="Comment Subject Char"/>
    <w:basedOn w:val="CommentTextChar"/>
    <w:link w:val="CommentSubject"/>
    <w:uiPriority w:val="99"/>
    <w:semiHidden/>
    <w:rsid w:val="00A728B7"/>
    <w:rPr>
      <w:b/>
      <w:bCs/>
      <w:sz w:val="20"/>
      <w:szCs w:val="20"/>
    </w:rPr>
  </w:style>
  <w:style w:type="paragraph" w:styleId="BalloonText">
    <w:name w:val="Balloon Text"/>
    <w:basedOn w:val="Normal"/>
    <w:link w:val="BalloonTextChar"/>
    <w:uiPriority w:val="99"/>
    <w:semiHidden/>
    <w:unhideWhenUsed/>
    <w:rsid w:val="00A72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416">
      <w:bodyDiv w:val="1"/>
      <w:marLeft w:val="0"/>
      <w:marRight w:val="0"/>
      <w:marTop w:val="0"/>
      <w:marBottom w:val="0"/>
      <w:divBdr>
        <w:top w:val="none" w:sz="0" w:space="0" w:color="auto"/>
        <w:left w:val="none" w:sz="0" w:space="0" w:color="auto"/>
        <w:bottom w:val="none" w:sz="0" w:space="0" w:color="auto"/>
        <w:right w:val="none" w:sz="0" w:space="0" w:color="auto"/>
      </w:divBdr>
    </w:div>
    <w:div w:id="1722633532">
      <w:bodyDiv w:val="1"/>
      <w:marLeft w:val="0"/>
      <w:marRight w:val="0"/>
      <w:marTop w:val="0"/>
      <w:marBottom w:val="0"/>
      <w:divBdr>
        <w:top w:val="none" w:sz="0" w:space="0" w:color="auto"/>
        <w:left w:val="none" w:sz="0" w:space="0" w:color="auto"/>
        <w:bottom w:val="none" w:sz="0" w:space="0" w:color="auto"/>
        <w:right w:val="none" w:sz="0" w:space="0" w:color="auto"/>
      </w:divBdr>
    </w:div>
    <w:div w:id="21021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Szarazi</dc:creator>
  <cp:keywords/>
  <dc:description/>
  <cp:lastModifiedBy>Eva Szarazi</cp:lastModifiedBy>
  <cp:revision>2</cp:revision>
  <dcterms:created xsi:type="dcterms:W3CDTF">2022-03-16T15:41:00Z</dcterms:created>
  <dcterms:modified xsi:type="dcterms:W3CDTF">2022-03-16T15:41:00Z</dcterms:modified>
</cp:coreProperties>
</file>